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C2F57" w14:textId="7E946627" w:rsidR="003805A2" w:rsidRPr="003805A2" w:rsidRDefault="003805A2" w:rsidP="003805A2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805A2">
        <w:rPr>
          <w:rFonts w:cs="Arial"/>
          <w:b/>
          <w:sz w:val="22"/>
          <w:lang w:val="en-US" w:eastAsia="en-US"/>
        </w:rPr>
        <w:t>3GPP TSG-RAN WG2 Meeting #124</w:t>
      </w:r>
      <w:r w:rsidRPr="003805A2">
        <w:rPr>
          <w:rFonts w:cs="Arial"/>
          <w:b/>
          <w:sz w:val="22"/>
          <w:lang w:val="en-US" w:eastAsia="en-US"/>
        </w:rPr>
        <w:tab/>
      </w:r>
      <w:r w:rsidR="00130644" w:rsidRPr="00130644">
        <w:rPr>
          <w:rFonts w:cs="Arial"/>
          <w:b/>
          <w:sz w:val="22"/>
          <w:lang w:val="en-US" w:eastAsia="en-US"/>
        </w:rPr>
        <w:t>R2-2312586</w:t>
      </w:r>
    </w:p>
    <w:p w14:paraId="5723B81F" w14:textId="2470E97C" w:rsidR="00C54A91" w:rsidRDefault="003805A2" w:rsidP="003805A2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3805A2">
        <w:rPr>
          <w:rFonts w:cs="Arial"/>
          <w:b/>
          <w:sz w:val="22"/>
          <w:lang w:val="en-US" w:eastAsia="en-US"/>
        </w:rPr>
        <w:t>Chicago, USA, Nov. 13th – 17th, 2023</w:t>
      </w:r>
      <w:r w:rsidR="00C54A91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6257342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1856487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 DTX</w:t>
      </w:r>
      <w:r w:rsidR="00183092">
        <w:rPr>
          <w:sz w:val="22"/>
        </w:rPr>
        <w:t>/</w:t>
      </w:r>
      <w:r w:rsidR="00183092" w:rsidRPr="00183092">
        <w:rPr>
          <w:sz w:val="22"/>
        </w:rPr>
        <w:t>DRX m</w:t>
      </w:r>
      <w:r w:rsidR="00183092">
        <w:rPr>
          <w:sz w:val="22"/>
        </w:rPr>
        <w:t>e</w:t>
      </w:r>
      <w:r w:rsidR="00183092" w:rsidRPr="00183092">
        <w:rPr>
          <w:sz w:val="22"/>
        </w:rPr>
        <w:t>chanism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0286E37" w14:textId="6742547F" w:rsidR="00AC5BB1" w:rsidRPr="00347FE8" w:rsidRDefault="00B61B00" w:rsidP="00BB4CD8">
      <w:pPr>
        <w:rPr>
          <w:bCs/>
          <w:lang w:val="en-US"/>
        </w:rPr>
      </w:pPr>
      <w:bookmarkStart w:id="6" w:name="OLE_LINK8"/>
      <w:bookmarkStart w:id="7" w:name="OLE_LINK9"/>
      <w:r>
        <w:rPr>
          <w:rFonts w:eastAsiaTheme="minorEastAsia"/>
        </w:rPr>
        <w:t xml:space="preserve">This paper </w:t>
      </w:r>
      <w:r w:rsidR="00677EDF">
        <w:rPr>
          <w:rFonts w:eastAsiaTheme="minorEastAsia" w:hint="eastAsia"/>
        </w:rPr>
        <w:t>disc</w:t>
      </w:r>
      <w:r w:rsidR="00677EDF">
        <w:rPr>
          <w:rFonts w:eastAsiaTheme="minorEastAsia"/>
        </w:rPr>
        <w:t>uss</w:t>
      </w:r>
      <w:r w:rsidR="00BB4CD8">
        <w:rPr>
          <w:rFonts w:eastAsiaTheme="minorEastAsia" w:hint="eastAsia"/>
        </w:rPr>
        <w:t>es</w:t>
      </w:r>
      <w:r w:rsidR="00626A2A">
        <w:rPr>
          <w:rFonts w:eastAsiaTheme="minorEastAsia"/>
        </w:rPr>
        <w:t xml:space="preserve"> </w:t>
      </w:r>
      <w:r w:rsidR="00BB4CD8">
        <w:rPr>
          <w:rFonts w:eastAsiaTheme="minorEastAsia" w:hint="eastAsia"/>
        </w:rPr>
        <w:t>the</w:t>
      </w:r>
      <w:r w:rsidR="00BB4CD8">
        <w:rPr>
          <w:rFonts w:eastAsiaTheme="minorEastAsia"/>
        </w:rPr>
        <w:t xml:space="preserve"> remaining issues on t</w:t>
      </w:r>
      <w:r w:rsidR="00535098">
        <w:rPr>
          <w:rFonts w:eastAsiaTheme="minorEastAsia" w:hint="eastAsia"/>
        </w:rPr>
        <w:t>he</w:t>
      </w:r>
      <w:r w:rsidR="00535098">
        <w:rPr>
          <w:rFonts w:eastAsiaTheme="minorEastAsia"/>
        </w:rPr>
        <w:t xml:space="preserve"> </w:t>
      </w:r>
      <w:r w:rsidR="00626A2A">
        <w:rPr>
          <w:rFonts w:eastAsiaTheme="minorEastAsia"/>
        </w:rPr>
        <w:t>cell</w:t>
      </w:r>
      <w:r>
        <w:rPr>
          <w:rFonts w:eastAsiaTheme="minorEastAsia"/>
        </w:rPr>
        <w:t xml:space="preserve"> DTX/DRX</w:t>
      </w:r>
      <w:bookmarkEnd w:id="6"/>
      <w:bookmarkEnd w:id="7"/>
      <w:r w:rsidR="00BB4CD8">
        <w:rPr>
          <w:rFonts w:hint="eastAsia"/>
          <w:bCs/>
          <w:lang w:val="en-US"/>
        </w:rPr>
        <w:t>.</w:t>
      </w:r>
    </w:p>
    <w:p w14:paraId="1E7495F8" w14:textId="22AA4A88" w:rsidR="008A707D" w:rsidRDefault="008A707D" w:rsidP="00F0443D"/>
    <w:bookmarkEnd w:id="5"/>
    <w:p w14:paraId="2E56F4F7" w14:textId="1C8D1517" w:rsidR="00281FF0" w:rsidRPr="00281FF0" w:rsidRDefault="003D1DDD" w:rsidP="00557BF3">
      <w:pPr>
        <w:pStyle w:val="1"/>
      </w:pPr>
      <w:r>
        <w:t>Discussion</w:t>
      </w:r>
    </w:p>
    <w:p w14:paraId="0D2FF43D" w14:textId="77777777" w:rsidR="00DD06D5" w:rsidRDefault="00DD06D5" w:rsidP="00DD06D5">
      <w:pPr>
        <w:overflowPunct w:val="0"/>
        <w:autoSpaceDE w:val="0"/>
        <w:autoSpaceDN w:val="0"/>
        <w:rPr>
          <w:rFonts w:cs="Arial"/>
          <w:szCs w:val="20"/>
          <w:lang w:val="en-US"/>
        </w:rPr>
      </w:pPr>
      <w:r>
        <w:rPr>
          <w:rFonts w:cs="Arial"/>
          <w:b/>
          <w:bCs/>
          <w:szCs w:val="20"/>
        </w:rPr>
        <w:t>Issue 1:</w:t>
      </w:r>
      <w:r>
        <w:rPr>
          <w:rFonts w:cs="Arial"/>
          <w:szCs w:val="20"/>
        </w:rPr>
        <w:t xml:space="preserve"> whether to confirm the WA: </w:t>
      </w:r>
    </w:p>
    <w:p w14:paraId="423FCBDB" w14:textId="02BCDE4C" w:rsidR="00A4053A" w:rsidRPr="00A4053A" w:rsidRDefault="00281FF0" w:rsidP="00A4053A">
      <w:pPr>
        <w:pStyle w:val="afb"/>
      </w:pPr>
      <w:r>
        <w:rPr>
          <w:rFonts w:hint="eastAsia"/>
          <w:iCs/>
          <w:szCs w:val="20"/>
        </w:rPr>
        <w:t>T</w:t>
      </w:r>
      <w:r>
        <w:rPr>
          <w:iCs/>
          <w:szCs w:val="20"/>
        </w:rPr>
        <w:t xml:space="preserve">he RAN2#123bis achieves the following WA for the case that </w:t>
      </w:r>
      <w:r w:rsidRPr="00891A9C">
        <w:t xml:space="preserve">an emergency call is initiated during the cell DTX/DRX </w:t>
      </w:r>
      <w:r w:rsidR="00A4053A">
        <w:t>non-active</w:t>
      </w:r>
      <w:r w:rsidRPr="00891A9C">
        <w:t xml:space="preserve"> period.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053A" w14:paraId="6EA1700F" w14:textId="77777777" w:rsidTr="006117E6">
        <w:tc>
          <w:tcPr>
            <w:tcW w:w="10194" w:type="dxa"/>
          </w:tcPr>
          <w:p w14:paraId="08C44AF9" w14:textId="591A19E7" w:rsidR="00A4053A" w:rsidRPr="00A4053A" w:rsidRDefault="00A4053A" w:rsidP="00A4053A">
            <w:pPr>
              <w:pStyle w:val="EmailDiscussion2"/>
              <w:ind w:left="0" w:firstLine="0"/>
              <w:rPr>
                <w:b/>
                <w:bCs/>
                <w:sz w:val="20"/>
                <w:szCs w:val="20"/>
                <w:lang w:eastAsia="sv-SE"/>
              </w:rPr>
            </w:pPr>
            <w:bookmarkStart w:id="8" w:name="_Hlk149235762"/>
            <w:r w:rsidRPr="00A4053A">
              <w:rPr>
                <w:b/>
                <w:bCs/>
                <w:sz w:val="20"/>
                <w:szCs w:val="20"/>
                <w:lang w:eastAsia="sv-SE"/>
              </w:rPr>
              <w:t>Agreements</w:t>
            </w:r>
          </w:p>
          <w:p w14:paraId="6D7CFA76" w14:textId="77777777" w:rsidR="00A4053A" w:rsidRPr="00E61676" w:rsidRDefault="00A4053A" w:rsidP="00A4053A">
            <w:pPr>
              <w:pStyle w:val="aff5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 w:val="0"/>
              <w:jc w:val="left"/>
            </w:pPr>
            <w:bookmarkStart w:id="9" w:name="_Hlk149235752"/>
            <w:r w:rsidRPr="00A4053A">
              <w:rPr>
                <w:szCs w:val="20"/>
              </w:rPr>
              <w:t>Working assumption: UE triggers RACH upon determining that</w:t>
            </w:r>
            <w:bookmarkStart w:id="10" w:name="_Hlk149235742"/>
            <w:r w:rsidRPr="00A4053A">
              <w:rPr>
                <w:szCs w:val="20"/>
              </w:rPr>
              <w:t xml:space="preserve"> an emergency call is initiated during the cell DTX/DRX non active period.</w:t>
            </w:r>
            <w:bookmarkEnd w:id="10"/>
            <w:r w:rsidRPr="00A4053A">
              <w:rPr>
                <w:szCs w:val="20"/>
              </w:rPr>
              <w:t xml:space="preserve"> We rely on the UE implementation to determine whether an emergency call is initiated.  We will take time to check until next meeting to confirm the WA.</w:t>
            </w:r>
            <w:bookmarkEnd w:id="8"/>
            <w:bookmarkEnd w:id="9"/>
          </w:p>
        </w:tc>
      </w:tr>
    </w:tbl>
    <w:p w14:paraId="4254DE91" w14:textId="77777777" w:rsidR="00A4053A" w:rsidRDefault="00A4053A" w:rsidP="00A4053A">
      <w:pPr>
        <w:pStyle w:val="EmailDiscussion2"/>
        <w:ind w:left="0" w:firstLine="0"/>
        <w:rPr>
          <w:b/>
          <w:bCs/>
          <w:lang w:eastAsia="sv-SE"/>
        </w:rPr>
      </w:pPr>
    </w:p>
    <w:p w14:paraId="389B64AD" w14:textId="2891F32D" w:rsidR="00281FF0" w:rsidRDefault="005C7549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Some doubt was raised in the last meeting on whether we can rely on the UE </w:t>
      </w:r>
      <w:r w:rsidR="006D48A2">
        <w:rPr>
          <w:iCs/>
          <w:szCs w:val="20"/>
        </w:rPr>
        <w:t xml:space="preserve">implementation to determine an emergency call initiated. </w:t>
      </w:r>
      <w:r w:rsidR="003A7A66">
        <w:rPr>
          <w:iCs/>
          <w:szCs w:val="20"/>
        </w:rPr>
        <w:t>And we understand there is no need to worry about it since</w:t>
      </w:r>
      <w:r w:rsidR="008658A7">
        <w:rPr>
          <w:iCs/>
          <w:szCs w:val="20"/>
        </w:rPr>
        <w:t xml:space="preserve"> the following </w:t>
      </w:r>
      <w:r w:rsidR="00AC71D6">
        <w:rPr>
          <w:iCs/>
          <w:szCs w:val="20"/>
        </w:rPr>
        <w:t xml:space="preserve">is </w:t>
      </w:r>
      <w:r w:rsidR="008658A7">
        <w:rPr>
          <w:iCs/>
          <w:szCs w:val="20"/>
        </w:rPr>
        <w:t>captured in the current spec</w:t>
      </w:r>
      <w:r w:rsidR="003A7A66">
        <w:rPr>
          <w:iCs/>
          <w:szCs w:val="20"/>
        </w:rPr>
        <w:t>,</w:t>
      </w:r>
    </w:p>
    <w:p w14:paraId="195EC03B" w14:textId="2EDA90C2" w:rsidR="003A7A66" w:rsidRDefault="0014193E" w:rsidP="003A7A66">
      <w:pPr>
        <w:pStyle w:val="afb"/>
        <w:numPr>
          <w:ilvl w:val="0"/>
          <w:numId w:val="46"/>
        </w:numPr>
        <w:rPr>
          <w:iCs/>
          <w:szCs w:val="20"/>
        </w:rPr>
      </w:pPr>
      <w:r>
        <w:rPr>
          <w:iCs/>
          <w:szCs w:val="20"/>
        </w:rPr>
        <w:t>The current RRC spec</w:t>
      </w:r>
      <w:r w:rsidR="003A7A66">
        <w:rPr>
          <w:iCs/>
          <w:szCs w:val="20"/>
        </w:rPr>
        <w:t xml:space="preserve"> already captures a Note, which says </w:t>
      </w:r>
      <w:r w:rsidR="00C225B6">
        <w:rPr>
          <w:iCs/>
          <w:szCs w:val="20"/>
        </w:rPr>
        <w:t xml:space="preserve">that </w:t>
      </w:r>
      <w:r w:rsidR="003A7A66">
        <w:rPr>
          <w:iCs/>
          <w:szCs w:val="20"/>
        </w:rPr>
        <w:t xml:space="preserve">the AS </w:t>
      </w:r>
      <w:r w:rsidR="00C225B6">
        <w:rPr>
          <w:iCs/>
          <w:szCs w:val="20"/>
        </w:rPr>
        <w:t xml:space="preserve">layer </w:t>
      </w:r>
      <w:r>
        <w:rPr>
          <w:iCs/>
          <w:szCs w:val="20"/>
        </w:rPr>
        <w:t xml:space="preserve">relies on the UE’s implementation knowing of </w:t>
      </w:r>
      <w:r w:rsidR="003A7A66">
        <w:rPr>
          <w:iCs/>
          <w:szCs w:val="20"/>
        </w:rPr>
        <w:t xml:space="preserve">the </w:t>
      </w:r>
      <w:r w:rsidR="009C5E07">
        <w:rPr>
          <w:iCs/>
          <w:szCs w:val="20"/>
        </w:rPr>
        <w:t>ongoing</w:t>
      </w:r>
      <w:r w:rsidR="003A7A66">
        <w:rPr>
          <w:iCs/>
          <w:szCs w:val="20"/>
        </w:rPr>
        <w:t xml:space="preserve"> emergency</w:t>
      </w:r>
      <w:r w:rsidR="009C5E07">
        <w:rPr>
          <w:iCs/>
          <w:szCs w:val="20"/>
        </w:rPr>
        <w:t xml:space="preserve"> call</w:t>
      </w:r>
      <w:r w:rsidR="003A7A66">
        <w:rPr>
          <w:iCs/>
          <w:szCs w:val="20"/>
        </w:rPr>
        <w:t>.</w:t>
      </w:r>
    </w:p>
    <w:p w14:paraId="3A88FFA3" w14:textId="2CEE0017" w:rsidR="00962735" w:rsidRDefault="00527C97" w:rsidP="00962735">
      <w:pPr>
        <w:pStyle w:val="afb"/>
        <w:ind w:left="360"/>
        <w:rPr>
          <w:iCs/>
          <w:szCs w:val="20"/>
        </w:rPr>
      </w:pPr>
      <w:r>
        <w:rPr>
          <w:noProof/>
        </w:rPr>
        <w:drawing>
          <wp:inline distT="0" distB="0" distL="0" distR="0" wp14:anchorId="41862FDF" wp14:editId="3DBC3286">
            <wp:extent cx="6120765" cy="2463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7701D" w14:textId="6F32CAF2" w:rsidR="003A7A66" w:rsidRDefault="0014193E" w:rsidP="003A7A66">
      <w:pPr>
        <w:pStyle w:val="afb"/>
        <w:numPr>
          <w:ilvl w:val="0"/>
          <w:numId w:val="46"/>
        </w:numPr>
        <w:rPr>
          <w:iCs/>
          <w:szCs w:val="20"/>
        </w:rPr>
      </w:pPr>
      <w:r>
        <w:rPr>
          <w:iCs/>
          <w:szCs w:val="20"/>
        </w:rPr>
        <w:t>The current</w:t>
      </w:r>
      <w:r w:rsidR="003A7A66">
        <w:rPr>
          <w:iCs/>
          <w:szCs w:val="20"/>
        </w:rPr>
        <w:t xml:space="preserve"> NAS spec</w:t>
      </w:r>
      <w:r w:rsidR="00AC2203">
        <w:rPr>
          <w:iCs/>
          <w:szCs w:val="20"/>
        </w:rPr>
        <w:t xml:space="preserve"> </w:t>
      </w:r>
      <w:r w:rsidR="00527C97">
        <w:rPr>
          <w:rFonts w:hint="eastAsia"/>
          <w:iCs/>
          <w:szCs w:val="20"/>
        </w:rPr>
        <w:t>(</w:t>
      </w:r>
      <w:r w:rsidR="0039389C">
        <w:rPr>
          <w:iCs/>
          <w:szCs w:val="20"/>
        </w:rPr>
        <w:t>TS 24.501</w:t>
      </w:r>
      <w:r w:rsidR="00527C97">
        <w:rPr>
          <w:iCs/>
          <w:szCs w:val="20"/>
        </w:rPr>
        <w:t>)</w:t>
      </w:r>
      <w:r w:rsidR="003A7A66">
        <w:rPr>
          <w:iCs/>
          <w:szCs w:val="20"/>
        </w:rPr>
        <w:t xml:space="preserve"> </w:t>
      </w:r>
      <w:r>
        <w:rPr>
          <w:iCs/>
          <w:szCs w:val="20"/>
        </w:rPr>
        <w:t xml:space="preserve">implies </w:t>
      </w:r>
      <w:r w:rsidR="009C5E07">
        <w:rPr>
          <w:iCs/>
          <w:szCs w:val="20"/>
        </w:rPr>
        <w:t xml:space="preserve">the ongoing emergency call </w:t>
      </w:r>
      <w:r>
        <w:rPr>
          <w:iCs/>
          <w:szCs w:val="20"/>
        </w:rPr>
        <w:t xml:space="preserve">that the UE knows </w:t>
      </w:r>
      <w:r w:rsidR="009C5E07">
        <w:rPr>
          <w:iCs/>
          <w:szCs w:val="20"/>
        </w:rPr>
        <w:t xml:space="preserve">includes the case that </w:t>
      </w:r>
      <w:r w:rsidR="00AC71D6">
        <w:rPr>
          <w:iCs/>
          <w:szCs w:val="20"/>
        </w:rPr>
        <w:t xml:space="preserve">a </w:t>
      </w:r>
      <w:r w:rsidR="009C5E07">
        <w:rPr>
          <w:iCs/>
          <w:szCs w:val="20"/>
        </w:rPr>
        <w:t>PDU session is established and to be established</w:t>
      </w:r>
      <w:r w:rsidR="00784690">
        <w:rPr>
          <w:iCs/>
          <w:szCs w:val="20"/>
        </w:rPr>
        <w:t>.</w:t>
      </w:r>
    </w:p>
    <w:p w14:paraId="6C635963" w14:textId="45B7D202" w:rsidR="0039389C" w:rsidRDefault="00784690" w:rsidP="0039389C">
      <w:pPr>
        <w:pStyle w:val="afb"/>
        <w:ind w:left="360"/>
        <w:rPr>
          <w:iCs/>
          <w:szCs w:val="20"/>
        </w:rPr>
      </w:pPr>
      <w:r>
        <w:rPr>
          <w:noProof/>
        </w:rPr>
        <w:lastRenderedPageBreak/>
        <w:drawing>
          <wp:inline distT="0" distB="0" distL="0" distR="0" wp14:anchorId="380072E4" wp14:editId="4F7B2748">
            <wp:extent cx="5149215" cy="2512372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401" cy="251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00976" w14:textId="77777777" w:rsidR="008658A7" w:rsidRDefault="008658A7" w:rsidP="00557BF3">
      <w:pPr>
        <w:pStyle w:val="afb"/>
        <w:rPr>
          <w:iCs/>
          <w:szCs w:val="20"/>
        </w:rPr>
      </w:pPr>
    </w:p>
    <w:p w14:paraId="6C67AD66" w14:textId="1B1691C4" w:rsidR="00E171D2" w:rsidRPr="00E171D2" w:rsidRDefault="00E171D2" w:rsidP="00E171D2">
      <w:pPr>
        <w:pStyle w:val="Proposal"/>
      </w:pPr>
      <w:bookmarkStart w:id="11" w:name="_Toc149899239"/>
      <w:r>
        <w:rPr>
          <w:iCs/>
          <w:szCs w:val="20"/>
        </w:rPr>
        <w:t>Confirm the working assumption:</w:t>
      </w:r>
      <w:r w:rsidRPr="00E171D2">
        <w:rPr>
          <w:szCs w:val="20"/>
        </w:rPr>
        <w:t xml:space="preserve"> </w:t>
      </w:r>
      <w:r w:rsidRPr="00A4053A">
        <w:rPr>
          <w:szCs w:val="20"/>
        </w:rPr>
        <w:t xml:space="preserve">UE triggers RACH upon determining that an emergency call is initiated during the cell DTX/DRX </w:t>
      </w:r>
      <w:r w:rsidR="00AC71D6">
        <w:rPr>
          <w:szCs w:val="20"/>
        </w:rPr>
        <w:t>non-active</w:t>
      </w:r>
      <w:r w:rsidRPr="00A4053A">
        <w:rPr>
          <w:szCs w:val="20"/>
        </w:rPr>
        <w:t xml:space="preserve"> period. We rely on the UE implementation to determine whether an emergency call is initiated.</w:t>
      </w:r>
      <w:bookmarkEnd w:id="11"/>
    </w:p>
    <w:p w14:paraId="1C719888" w14:textId="4CF5695B" w:rsidR="002F0697" w:rsidRDefault="002F0697" w:rsidP="00557BF3">
      <w:pPr>
        <w:pStyle w:val="afb"/>
        <w:rPr>
          <w:iCs/>
          <w:szCs w:val="20"/>
        </w:rPr>
      </w:pPr>
    </w:p>
    <w:p w14:paraId="59B05D21" w14:textId="77777777" w:rsidR="002F0697" w:rsidRPr="006A2509" w:rsidRDefault="002F0697" w:rsidP="002F0697">
      <w:pPr>
        <w:overflowPunct w:val="0"/>
        <w:autoSpaceDE w:val="0"/>
        <w:autoSpaceDN w:val="0"/>
        <w:rPr>
          <w:rFonts w:cs="Arial"/>
          <w:szCs w:val="20"/>
        </w:rPr>
      </w:pPr>
      <w:r w:rsidRPr="006A2509">
        <w:rPr>
          <w:rFonts w:cs="Arial"/>
          <w:b/>
          <w:bCs/>
          <w:szCs w:val="20"/>
        </w:rPr>
        <w:t>Issue 3:</w:t>
      </w:r>
      <w:r w:rsidRPr="006A2509">
        <w:rPr>
          <w:rFonts w:cs="Arial"/>
          <w:szCs w:val="20"/>
        </w:rPr>
        <w:t xml:space="preserve"> Whether to add NES-RNTI to the list of monitored RNTIs in section 4.7 (DRX)</w:t>
      </w:r>
    </w:p>
    <w:p w14:paraId="7DD79AA0" w14:textId="28B65B19" w:rsidR="002F0697" w:rsidRDefault="004069C5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In RAN1#114, it was agreed that NES-RNTI is monitored in the </w:t>
      </w:r>
      <w:r w:rsidR="0014193E" w:rsidRPr="002C3245">
        <w:rPr>
          <w:iCs/>
          <w:szCs w:val="20"/>
        </w:rPr>
        <w:t>common search space</w:t>
      </w:r>
      <w:r>
        <w:rPr>
          <w:iCs/>
          <w:szCs w:val="20"/>
        </w:rPr>
        <w:t xml:space="preserve">. As the </w:t>
      </w:r>
      <w:r w:rsidR="00BC4D32" w:rsidRPr="00BC4D32">
        <w:rPr>
          <w:iCs/>
          <w:szCs w:val="20"/>
        </w:rPr>
        <w:t>common search space</w:t>
      </w:r>
      <w:r>
        <w:rPr>
          <w:iCs/>
          <w:szCs w:val="20"/>
        </w:rPr>
        <w:t xml:space="preserve"> associated with NES-RNTI would be</w:t>
      </w:r>
      <w:r w:rsidR="00FD171B">
        <w:rPr>
          <w:iCs/>
          <w:szCs w:val="20"/>
        </w:rPr>
        <w:t xml:space="preserve"> configured</w:t>
      </w:r>
      <w:r>
        <w:rPr>
          <w:iCs/>
          <w:szCs w:val="20"/>
        </w:rPr>
        <w:t xml:space="preserve"> inside or outside of the </w:t>
      </w:r>
      <w:r>
        <w:rPr>
          <w:rFonts w:hint="eastAsia"/>
          <w:iCs/>
          <w:szCs w:val="20"/>
        </w:rPr>
        <w:t>UE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C-</w:t>
      </w:r>
      <w:r>
        <w:rPr>
          <w:iCs/>
          <w:szCs w:val="20"/>
        </w:rPr>
        <w:t>DR</w:t>
      </w:r>
      <w:r>
        <w:rPr>
          <w:rFonts w:hint="eastAsia"/>
          <w:iCs/>
          <w:szCs w:val="20"/>
        </w:rPr>
        <w:t>X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active</w:t>
      </w:r>
      <w:r>
        <w:rPr>
          <w:iCs/>
          <w:szCs w:val="20"/>
        </w:rPr>
        <w:t xml:space="preserve"> period, one additional issue is whether such monitoring is only allowed inside of the UE C-DRX active period to save the UE’s power consumption.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69C5" w14:paraId="13C181E4" w14:textId="77777777" w:rsidTr="004069C5">
        <w:tc>
          <w:tcPr>
            <w:tcW w:w="9629" w:type="dxa"/>
          </w:tcPr>
          <w:p w14:paraId="01A0BD42" w14:textId="77777777" w:rsidR="004069C5" w:rsidRPr="00246964" w:rsidRDefault="004069C5" w:rsidP="004069C5">
            <w:pPr>
              <w:rPr>
                <w:rFonts w:ascii="Times New Roman" w:eastAsia="Batang" w:hAnsi="Times New Roman"/>
                <w:szCs w:val="20"/>
                <w:highlight w:val="green"/>
                <w:lang w:eastAsia="x-none"/>
              </w:rPr>
            </w:pPr>
            <w:r w:rsidRPr="00246964">
              <w:rPr>
                <w:rFonts w:ascii="Times New Roman" w:eastAsia="Batang" w:hAnsi="Times New Roman"/>
                <w:szCs w:val="20"/>
                <w:highlight w:val="green"/>
                <w:lang w:eastAsia="x-none"/>
              </w:rPr>
              <w:t>Agreement</w:t>
            </w:r>
          </w:p>
          <w:p w14:paraId="0E892DA6" w14:textId="77777777" w:rsidR="004069C5" w:rsidRPr="00246964" w:rsidRDefault="004069C5" w:rsidP="004069C5">
            <w:pPr>
              <w:suppressAutoHyphens/>
              <w:spacing w:line="254" w:lineRule="auto"/>
              <w:rPr>
                <w:rFonts w:ascii="Times New Roman" w:eastAsia="Batang" w:hAnsi="Times New Roman"/>
                <w:szCs w:val="20"/>
              </w:rPr>
            </w:pPr>
            <w:r w:rsidRPr="00246964">
              <w:rPr>
                <w:rFonts w:ascii="Times New Roman" w:eastAsia="Batang" w:hAnsi="Times New Roman"/>
                <w:szCs w:val="20"/>
                <w:lang w:eastAsia="x-none"/>
              </w:rPr>
              <w:t>DCI format 2_X is monitored in the common search space.</w:t>
            </w:r>
          </w:p>
          <w:p w14:paraId="1BA13D83" w14:textId="4FB004E5" w:rsidR="004069C5" w:rsidRPr="004069C5" w:rsidRDefault="004069C5" w:rsidP="004069C5">
            <w:pPr>
              <w:suppressAutoHyphens/>
              <w:spacing w:line="254" w:lineRule="auto"/>
              <w:rPr>
                <w:rFonts w:ascii="Times New Roman" w:eastAsia="Batang" w:hAnsi="Times New Roman"/>
                <w:szCs w:val="20"/>
              </w:rPr>
            </w:pPr>
            <w:r w:rsidRPr="00246964">
              <w:rPr>
                <w:rFonts w:ascii="Times New Roman" w:eastAsia="Batang" w:hAnsi="Times New Roman"/>
                <w:szCs w:val="20"/>
                <w:lang w:eastAsia="x-none"/>
              </w:rPr>
              <w:t>Note: Search space set configuration for DCI format 2_X is separately provided by higher layers.</w:t>
            </w:r>
          </w:p>
        </w:tc>
      </w:tr>
    </w:tbl>
    <w:p w14:paraId="64407864" w14:textId="0EC53CCD" w:rsidR="004069C5" w:rsidRDefault="004069C5" w:rsidP="00557BF3">
      <w:pPr>
        <w:pStyle w:val="afb"/>
        <w:rPr>
          <w:iCs/>
          <w:szCs w:val="20"/>
        </w:rPr>
      </w:pPr>
    </w:p>
    <w:p w14:paraId="3FBA3D45" w14:textId="4F80E709" w:rsidR="004069C5" w:rsidRPr="004069C5" w:rsidRDefault="00473F5E" w:rsidP="00557BF3">
      <w:pPr>
        <w:pStyle w:val="afb"/>
        <w:rPr>
          <w:iCs/>
          <w:szCs w:val="20"/>
        </w:rPr>
      </w:pPr>
      <w:r>
        <w:rPr>
          <w:iCs/>
          <w:szCs w:val="20"/>
        </w:rPr>
        <w:t xml:space="preserve">Although we appreciate the motivation, this restriction may delay the network signalling since the network needs to find and wait </w:t>
      </w:r>
      <w:r w:rsidR="00A0337B">
        <w:rPr>
          <w:iCs/>
          <w:szCs w:val="20"/>
        </w:rPr>
        <w:t>for the available occasion inside</w:t>
      </w:r>
      <w:r>
        <w:rPr>
          <w:iCs/>
          <w:szCs w:val="20"/>
        </w:rPr>
        <w:t xml:space="preserve"> the C-DRX active period.</w:t>
      </w:r>
      <w:r w:rsidR="003E161A">
        <w:rPr>
          <w:rFonts w:hint="eastAsia"/>
          <w:iCs/>
          <w:szCs w:val="20"/>
        </w:rPr>
        <w:t xml:space="preserve"> </w:t>
      </w:r>
      <w:r w:rsidR="003E161A">
        <w:rPr>
          <w:iCs/>
          <w:szCs w:val="20"/>
        </w:rPr>
        <w:t>Also, a</w:t>
      </w:r>
      <w:r w:rsidR="004069C5">
        <w:rPr>
          <w:iCs/>
          <w:szCs w:val="20"/>
        </w:rPr>
        <w:t xml:space="preserve">s this issue was already discussed in RAN1 but no consensus </w:t>
      </w:r>
      <w:r w:rsidR="00A0337B">
        <w:rPr>
          <w:iCs/>
          <w:szCs w:val="20"/>
        </w:rPr>
        <w:t>was</w:t>
      </w:r>
      <w:r w:rsidR="004069C5">
        <w:rPr>
          <w:iCs/>
          <w:szCs w:val="20"/>
        </w:rPr>
        <w:t xml:space="preserve"> achieved, we do not think </w:t>
      </w:r>
      <w:r w:rsidR="00A0337B">
        <w:rPr>
          <w:iCs/>
          <w:szCs w:val="20"/>
        </w:rPr>
        <w:t>it is a good choice to initiate a</w:t>
      </w:r>
      <w:r w:rsidR="004069C5">
        <w:rPr>
          <w:iCs/>
          <w:szCs w:val="20"/>
        </w:rPr>
        <w:t xml:space="preserve"> parallel discussion in RAN2</w:t>
      </w:r>
      <w:r w:rsidR="003E161A">
        <w:rPr>
          <w:iCs/>
          <w:szCs w:val="20"/>
        </w:rPr>
        <w:t>. Thus, we prefer to wait for further RAN1</w:t>
      </w:r>
      <w:r w:rsidR="00A0337B">
        <w:rPr>
          <w:iCs/>
          <w:szCs w:val="20"/>
        </w:rPr>
        <w:t>’s</w:t>
      </w:r>
      <w:r w:rsidR="003E161A">
        <w:rPr>
          <w:iCs/>
          <w:szCs w:val="20"/>
        </w:rPr>
        <w:t xml:space="preserve"> progress. </w:t>
      </w:r>
    </w:p>
    <w:p w14:paraId="09830FC0" w14:textId="074D2E99" w:rsidR="006023A6" w:rsidRPr="006023A6" w:rsidRDefault="006023A6" w:rsidP="006023A6">
      <w:pPr>
        <w:pStyle w:val="Proposal"/>
      </w:pPr>
      <w:bookmarkStart w:id="12" w:name="_Toc149899240"/>
      <w:r>
        <w:rPr>
          <w:iCs/>
          <w:szCs w:val="20"/>
        </w:rPr>
        <w:t xml:space="preserve">RAN2 waits for further RAN1’s progress on whether </w:t>
      </w:r>
      <w:r w:rsidRPr="006023A6">
        <w:rPr>
          <w:iCs/>
          <w:szCs w:val="20"/>
        </w:rPr>
        <w:t>to add NES-RNTI to the list of monitored RNTIs in section 4.7 (DRX)</w:t>
      </w:r>
      <w:r>
        <w:rPr>
          <w:iCs/>
          <w:szCs w:val="20"/>
        </w:rPr>
        <w:t>.</w:t>
      </w:r>
      <w:bookmarkEnd w:id="12"/>
    </w:p>
    <w:p w14:paraId="44208F2F" w14:textId="3021CAE1" w:rsidR="00B109B0" w:rsidRPr="003E161A" w:rsidRDefault="00B109B0" w:rsidP="00557BF3">
      <w:pPr>
        <w:pStyle w:val="afb"/>
        <w:rPr>
          <w:iCs/>
          <w:szCs w:val="20"/>
        </w:rPr>
      </w:pPr>
    </w:p>
    <w:p w14:paraId="28B090FC" w14:textId="77777777" w:rsidR="00B109B0" w:rsidRPr="006A2509" w:rsidRDefault="00B109B0" w:rsidP="00B109B0">
      <w:pPr>
        <w:rPr>
          <w:rFonts w:cs="Arial"/>
          <w:szCs w:val="20"/>
        </w:rPr>
      </w:pPr>
      <w:r w:rsidRPr="006A2509">
        <w:rPr>
          <w:rFonts w:cs="Arial"/>
          <w:b/>
          <w:bCs/>
          <w:szCs w:val="20"/>
        </w:rPr>
        <w:t>Issue 1-13:</w:t>
      </w:r>
      <w:r w:rsidRPr="006A2509">
        <w:rPr>
          <w:rFonts w:cs="Arial"/>
          <w:szCs w:val="20"/>
        </w:rPr>
        <w:t xml:space="preserve"> Should cell DRX be added to the agreement: “We focus on the case where DTX in RRC can only be configured when C-DRX is configured”.</w:t>
      </w:r>
    </w:p>
    <w:p w14:paraId="1B70D42F" w14:textId="740A8FDF" w:rsidR="00B109B0" w:rsidRDefault="007B115F" w:rsidP="00557BF3">
      <w:pPr>
        <w:pStyle w:val="afb"/>
        <w:rPr>
          <w:iCs/>
          <w:szCs w:val="20"/>
        </w:rPr>
      </w:pPr>
      <w:r>
        <w:rPr>
          <w:rFonts w:hint="eastAsia"/>
          <w:iCs/>
          <w:szCs w:val="20"/>
        </w:rPr>
        <w:t>A</w:t>
      </w:r>
      <w:r>
        <w:rPr>
          <w:iCs/>
          <w:szCs w:val="20"/>
        </w:rPr>
        <w:t xml:space="preserve">s designed and captured in </w:t>
      </w:r>
      <w:r w:rsidR="00494B96">
        <w:rPr>
          <w:iCs/>
          <w:szCs w:val="20"/>
        </w:rPr>
        <w:t xml:space="preserve">the </w:t>
      </w:r>
      <w:r>
        <w:rPr>
          <w:iCs/>
          <w:szCs w:val="20"/>
        </w:rPr>
        <w:t xml:space="preserve">MAC running CR, the cell DRX controls the specific UL transmission. </w:t>
      </w:r>
      <w:r w:rsidR="00D36136">
        <w:rPr>
          <w:iCs/>
          <w:szCs w:val="20"/>
        </w:rPr>
        <w:t>For example,</w:t>
      </w:r>
      <w:r w:rsidR="006342AA">
        <w:rPr>
          <w:iCs/>
          <w:szCs w:val="20"/>
        </w:rPr>
        <w:t xml:space="preserve"> the</w:t>
      </w:r>
      <w:r>
        <w:rPr>
          <w:iCs/>
          <w:szCs w:val="20"/>
        </w:rPr>
        <w:t xml:space="preserve"> SR/CG</w:t>
      </w:r>
      <w:r w:rsidR="004E1ED0">
        <w:rPr>
          <w:iCs/>
          <w:szCs w:val="20"/>
        </w:rPr>
        <w:t xml:space="preserve"> transmission</w:t>
      </w:r>
      <w:r>
        <w:rPr>
          <w:iCs/>
          <w:szCs w:val="20"/>
        </w:rPr>
        <w:t xml:space="preserve"> is not allowed in cell DRX non-active period. </w:t>
      </w:r>
    </w:p>
    <w:p w14:paraId="071FF8FD" w14:textId="7CF9BB40" w:rsidR="007B115F" w:rsidRDefault="007B115F" w:rsidP="00557BF3">
      <w:pPr>
        <w:pStyle w:val="afb"/>
        <w:rPr>
          <w:iCs/>
          <w:szCs w:val="20"/>
        </w:rPr>
      </w:pPr>
      <w:r>
        <w:rPr>
          <w:noProof/>
        </w:rPr>
        <w:drawing>
          <wp:inline distT="0" distB="0" distL="0" distR="0" wp14:anchorId="1391718D" wp14:editId="78EDFE7A">
            <wp:extent cx="6120765" cy="9137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8F5CC" w14:textId="1DD13E0B" w:rsidR="006342AA" w:rsidRDefault="007B115F" w:rsidP="00557BF3">
      <w:pPr>
        <w:pStyle w:val="afb"/>
        <w:rPr>
          <w:lang w:eastAsia="ko-KR"/>
        </w:rPr>
      </w:pPr>
      <w:r>
        <w:rPr>
          <w:rFonts w:hint="eastAsia"/>
          <w:iCs/>
          <w:szCs w:val="20"/>
        </w:rPr>
        <w:t>W</w:t>
      </w:r>
      <w:r>
        <w:rPr>
          <w:iCs/>
          <w:szCs w:val="20"/>
        </w:rPr>
        <w:t xml:space="preserve">hile, the UE C-DRX </w:t>
      </w:r>
      <w:r w:rsidR="00CC13D8" w:rsidRPr="00E87D15">
        <w:rPr>
          <w:lang w:eastAsia="ko-KR"/>
        </w:rPr>
        <w:t xml:space="preserve">controls the </w:t>
      </w:r>
      <w:r w:rsidR="0071219A">
        <w:rPr>
          <w:lang w:eastAsia="ko-KR"/>
        </w:rPr>
        <w:t xml:space="preserve">DL </w:t>
      </w:r>
      <w:r w:rsidR="008B619F">
        <w:rPr>
          <w:lang w:eastAsia="ko-KR"/>
        </w:rPr>
        <w:t>behaviour</w:t>
      </w:r>
      <w:r w:rsidR="0071219A">
        <w:rPr>
          <w:lang w:eastAsia="ko-KR"/>
        </w:rPr>
        <w:t xml:space="preserve">, </w:t>
      </w:r>
      <w:r w:rsidR="0014473C">
        <w:rPr>
          <w:lang w:eastAsia="ko-KR"/>
        </w:rPr>
        <w:t>i.e.</w:t>
      </w:r>
      <w:r w:rsidR="0071219A">
        <w:rPr>
          <w:lang w:eastAsia="ko-KR"/>
        </w:rPr>
        <w:t xml:space="preserve">, the MAC stops the </w:t>
      </w:r>
      <w:r w:rsidR="00CC13D8" w:rsidRPr="00E87D15">
        <w:rPr>
          <w:lang w:eastAsia="ko-KR"/>
        </w:rPr>
        <w:t>UE's PDCCH monitoring activity</w:t>
      </w:r>
      <w:r w:rsidR="0071219A">
        <w:rPr>
          <w:lang w:eastAsia="ko-KR"/>
        </w:rPr>
        <w:t xml:space="preserve"> during C-DRX non-active period.</w:t>
      </w:r>
    </w:p>
    <w:p w14:paraId="7AD7DC6A" w14:textId="1D21AC50" w:rsidR="006342AA" w:rsidRDefault="0071219A" w:rsidP="00557BF3">
      <w:pPr>
        <w:pStyle w:val="afb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2FDC37EE" wp14:editId="6C8A7925">
            <wp:extent cx="6120765" cy="11341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7A816" w14:textId="13AF0D84" w:rsidR="007B115F" w:rsidRDefault="0071219A" w:rsidP="00557BF3">
      <w:pPr>
        <w:pStyle w:val="afb"/>
        <w:rPr>
          <w:lang w:eastAsia="ko-KR"/>
        </w:rPr>
      </w:pPr>
      <w:r>
        <w:rPr>
          <w:lang w:eastAsia="ko-KR"/>
        </w:rPr>
        <w:t>Ob</w:t>
      </w:r>
      <w:r w:rsidR="00B3446F">
        <w:rPr>
          <w:lang w:eastAsia="ko-KR"/>
        </w:rPr>
        <w:t xml:space="preserve">viously, the controlling of the cell DRX and the UE C-DRX is different, thus, there is no need to </w:t>
      </w:r>
      <w:r w:rsidR="00372D15">
        <w:rPr>
          <w:lang w:eastAsia="ko-KR"/>
        </w:rPr>
        <w:t xml:space="preserve">restrict </w:t>
      </w:r>
      <w:r w:rsidR="00934222">
        <w:rPr>
          <w:lang w:eastAsia="ko-KR"/>
        </w:rPr>
        <w:t>that</w:t>
      </w:r>
      <w:r w:rsidR="00B3446F" w:rsidRPr="00B3446F">
        <w:rPr>
          <w:lang w:eastAsia="ko-KR"/>
        </w:rPr>
        <w:t xml:space="preserve"> </w:t>
      </w:r>
      <w:r w:rsidR="00B3446F">
        <w:rPr>
          <w:lang w:eastAsia="ko-KR"/>
        </w:rPr>
        <w:t xml:space="preserve">the cell </w:t>
      </w:r>
      <w:r w:rsidR="00B3446F" w:rsidRPr="00B3446F">
        <w:rPr>
          <w:lang w:eastAsia="ko-KR"/>
        </w:rPr>
        <w:t>D</w:t>
      </w:r>
      <w:r w:rsidR="003C6152">
        <w:rPr>
          <w:lang w:eastAsia="ko-KR"/>
        </w:rPr>
        <w:t>R</w:t>
      </w:r>
      <w:r w:rsidR="00B3446F" w:rsidRPr="00B3446F">
        <w:rPr>
          <w:lang w:eastAsia="ko-KR"/>
        </w:rPr>
        <w:t xml:space="preserve">X </w:t>
      </w:r>
      <w:r w:rsidR="00B3446F">
        <w:rPr>
          <w:lang w:eastAsia="ko-KR"/>
        </w:rPr>
        <w:t xml:space="preserve">is </w:t>
      </w:r>
      <w:r w:rsidR="00B3446F" w:rsidRPr="00B3446F">
        <w:rPr>
          <w:lang w:eastAsia="ko-KR"/>
        </w:rPr>
        <w:t>only configured when C-DRX is configured</w:t>
      </w:r>
      <w:r w:rsidR="00B3446F">
        <w:rPr>
          <w:lang w:eastAsia="ko-KR"/>
        </w:rPr>
        <w:t>.</w:t>
      </w:r>
    </w:p>
    <w:p w14:paraId="58492F34" w14:textId="60AB3746" w:rsidR="00644445" w:rsidRDefault="00644445" w:rsidP="00644445">
      <w:pPr>
        <w:pStyle w:val="Proposal"/>
      </w:pPr>
      <w:bookmarkStart w:id="13" w:name="_Toc149899241"/>
      <w:r>
        <w:rPr>
          <w:iCs/>
          <w:szCs w:val="20"/>
        </w:rPr>
        <w:t xml:space="preserve">No need to restrict that </w:t>
      </w:r>
      <w:r>
        <w:rPr>
          <w:lang w:eastAsia="ko-KR"/>
        </w:rPr>
        <w:t xml:space="preserve">the cell </w:t>
      </w:r>
      <w:r w:rsidRPr="00B3446F">
        <w:rPr>
          <w:lang w:eastAsia="ko-KR"/>
        </w:rPr>
        <w:t>D</w:t>
      </w:r>
      <w:r w:rsidR="003C6152">
        <w:rPr>
          <w:lang w:eastAsia="ko-KR"/>
        </w:rPr>
        <w:t>R</w:t>
      </w:r>
      <w:r w:rsidRPr="00B3446F">
        <w:rPr>
          <w:lang w:eastAsia="ko-KR"/>
        </w:rPr>
        <w:t xml:space="preserve">X </w:t>
      </w:r>
      <w:r>
        <w:rPr>
          <w:lang w:eastAsia="ko-KR"/>
        </w:rPr>
        <w:t xml:space="preserve">is </w:t>
      </w:r>
      <w:r w:rsidRPr="00B3446F">
        <w:rPr>
          <w:lang w:eastAsia="ko-KR"/>
        </w:rPr>
        <w:t>only configured when C-DRX is configured</w:t>
      </w:r>
      <w:r>
        <w:rPr>
          <w:lang w:eastAsia="ko-KR"/>
        </w:rPr>
        <w:t>.</w:t>
      </w:r>
      <w:bookmarkEnd w:id="13"/>
    </w:p>
    <w:p w14:paraId="0B495930" w14:textId="77777777" w:rsidR="004A26D5" w:rsidRPr="0063356C" w:rsidRDefault="004A26D5" w:rsidP="007D3AFE">
      <w:pPr>
        <w:pStyle w:val="afb"/>
        <w:rPr>
          <w:bCs/>
        </w:rPr>
      </w:pPr>
    </w:p>
    <w:p w14:paraId="0B75F3EF" w14:textId="4BE2D256" w:rsidR="00DD06D5" w:rsidRPr="00AC71D6" w:rsidRDefault="00DD06D5" w:rsidP="00AC71D6">
      <w:pPr>
        <w:overflowPunct w:val="0"/>
        <w:autoSpaceDE w:val="0"/>
        <w:autoSpaceDN w:val="0"/>
        <w:rPr>
          <w:rFonts w:cs="Arial"/>
          <w:szCs w:val="20"/>
          <w:lang w:val="en-US"/>
        </w:rPr>
      </w:pPr>
      <w:r>
        <w:rPr>
          <w:rFonts w:cs="Arial" w:hint="eastAsia"/>
          <w:b/>
          <w:bCs/>
          <w:szCs w:val="20"/>
        </w:rPr>
        <w:t>Other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 w:hint="eastAsia"/>
          <w:b/>
          <w:bCs/>
          <w:szCs w:val="20"/>
        </w:rPr>
        <w:t>issues</w:t>
      </w:r>
      <w:r>
        <w:rPr>
          <w:rFonts w:cs="Arial"/>
          <w:b/>
          <w:bCs/>
          <w:szCs w:val="20"/>
        </w:rPr>
        <w:t>:</w:t>
      </w:r>
      <w:r>
        <w:rPr>
          <w:rFonts w:cs="Arial"/>
          <w:szCs w:val="20"/>
        </w:rPr>
        <w:t xml:space="preserve"> </w:t>
      </w:r>
    </w:p>
    <w:p w14:paraId="5A867F7A" w14:textId="407150CF" w:rsidR="00861FA7" w:rsidRDefault="00861FA7" w:rsidP="007D3AFE">
      <w:pPr>
        <w:pStyle w:val="afb"/>
        <w:rPr>
          <w:bCs/>
        </w:rPr>
      </w:pPr>
      <w:r>
        <w:rPr>
          <w:bCs/>
        </w:rPr>
        <w:t xml:space="preserve">According to </w:t>
      </w:r>
      <w:r w:rsidR="002C6F4A">
        <w:rPr>
          <w:bCs/>
        </w:rPr>
        <w:t>the current status, the following four cases would happen when the cell DTX/DRX and UE C-DRX are configured together.</w:t>
      </w:r>
      <w:r w:rsidR="0030621E">
        <w:rPr>
          <w:bCs/>
        </w:rPr>
        <w:t xml:space="preserve"> </w:t>
      </w:r>
    </w:p>
    <w:p w14:paraId="68D48009" w14:textId="66DD4E27" w:rsidR="005851F9" w:rsidRDefault="00DD7E8D" w:rsidP="00B21A60">
      <w:pPr>
        <w:pStyle w:val="afb"/>
        <w:jc w:val="center"/>
        <w:rPr>
          <w:bCs/>
        </w:rPr>
      </w:pPr>
      <w:r>
        <w:rPr>
          <w:bCs/>
          <w:noProof/>
          <w:lang w:val="en-US"/>
        </w:rPr>
        <w:drawing>
          <wp:inline distT="0" distB="0" distL="0" distR="0" wp14:anchorId="347075E2" wp14:editId="00F9B9DF">
            <wp:extent cx="3678742" cy="15481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38" cy="1563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C1CB0" w14:textId="37DEBBA4" w:rsidR="00DD7E8D" w:rsidRPr="00DD7E8D" w:rsidRDefault="00DD7E8D" w:rsidP="00DD7E8D">
      <w:pPr>
        <w:pStyle w:val="afb"/>
        <w:jc w:val="center"/>
        <w:rPr>
          <w:b/>
          <w:bCs/>
        </w:rPr>
      </w:pPr>
      <w:r w:rsidRPr="00DD7E8D">
        <w:rPr>
          <w:rFonts w:hint="eastAsia"/>
          <w:b/>
          <w:bCs/>
        </w:rPr>
        <w:t>F</w:t>
      </w:r>
      <w:r w:rsidRPr="00DD7E8D">
        <w:rPr>
          <w:b/>
          <w:bCs/>
        </w:rPr>
        <w:t xml:space="preserve">igure </w:t>
      </w:r>
      <w:r>
        <w:rPr>
          <w:b/>
          <w:bCs/>
        </w:rPr>
        <w:t>1</w:t>
      </w:r>
      <w:r w:rsidR="00B21A60">
        <w:rPr>
          <w:b/>
          <w:bCs/>
        </w:rPr>
        <w:t xml:space="preserve"> cell DTX/DRX and UE</w:t>
      </w:r>
      <w:r w:rsidR="00DF4A05">
        <w:rPr>
          <w:b/>
          <w:bCs/>
        </w:rPr>
        <w:t xml:space="preserve"> C-</w:t>
      </w:r>
      <w:r w:rsidR="00B21A60">
        <w:rPr>
          <w:b/>
          <w:bCs/>
        </w:rPr>
        <w:t>DRX</w:t>
      </w:r>
    </w:p>
    <w:p w14:paraId="50DF7625" w14:textId="496F505D" w:rsidR="00624A34" w:rsidRPr="00EA009C" w:rsidRDefault="00526BA4" w:rsidP="00624A34">
      <w:pPr>
        <w:pStyle w:val="afb"/>
        <w:numPr>
          <w:ilvl w:val="0"/>
          <w:numId w:val="32"/>
        </w:numPr>
        <w:rPr>
          <w:lang w:val="en-US"/>
        </w:rPr>
      </w:pPr>
      <w:bookmarkStart w:id="14" w:name="OLE_LINK4"/>
      <w:r>
        <w:rPr>
          <w:bCs/>
        </w:rPr>
        <w:t>For case</w:t>
      </w:r>
      <w:bookmarkEnd w:id="14"/>
      <w:r w:rsidR="00624A34">
        <w:rPr>
          <w:bCs/>
        </w:rPr>
        <w:t xml:space="preserve"> </w:t>
      </w:r>
      <w:r w:rsidR="00000070">
        <w:rPr>
          <w:rFonts w:ascii="宋体" w:hAnsi="宋体" w:hint="eastAsia"/>
          <w:bCs/>
        </w:rPr>
        <w:t>①</w:t>
      </w:r>
      <w:r w:rsidR="005D629D" w:rsidRPr="00EA009C">
        <w:rPr>
          <w:lang w:val="en-US"/>
        </w:rPr>
        <w:t>,</w:t>
      </w:r>
      <w:r w:rsidR="005D629D">
        <w:rPr>
          <w:lang w:val="en-US"/>
        </w:rPr>
        <w:t xml:space="preserve"> </w:t>
      </w:r>
      <w:r w:rsidR="00EA009C" w:rsidRPr="00EA009C">
        <w:rPr>
          <w:lang w:val="en-US"/>
        </w:rPr>
        <w:t>both</w:t>
      </w:r>
      <w:r w:rsidR="00EA009C">
        <w:rPr>
          <w:lang w:val="en-US"/>
        </w:rPr>
        <w:t xml:space="preserve"> </w:t>
      </w:r>
      <w:r w:rsidR="00521314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cell DTX/DRX and UE </w:t>
      </w:r>
      <w:r w:rsidR="000E157D">
        <w:rPr>
          <w:lang w:val="en-US"/>
        </w:rPr>
        <w:t>C-</w:t>
      </w:r>
      <w:r w:rsidR="00EA009C" w:rsidRPr="00EA009C">
        <w:rPr>
          <w:lang w:val="en-US"/>
        </w:rPr>
        <w:t xml:space="preserve">DRX are active, thus, </w:t>
      </w:r>
      <w:r w:rsidR="00252DD3">
        <w:rPr>
          <w:lang w:val="en-US"/>
        </w:rPr>
        <w:t xml:space="preserve">the </w:t>
      </w:r>
      <w:r w:rsidR="00EA009C" w:rsidRPr="00EA009C">
        <w:rPr>
          <w:lang w:val="en-US"/>
        </w:rPr>
        <w:t xml:space="preserve">UE/network </w:t>
      </w:r>
      <w:r w:rsidR="00EA009C">
        <w:rPr>
          <w:lang w:val="en-US"/>
        </w:rPr>
        <w:t xml:space="preserve">transmits as </w:t>
      </w:r>
      <w:r w:rsidR="005D5BE7">
        <w:rPr>
          <w:lang w:val="en-US"/>
        </w:rPr>
        <w:t>normal</w:t>
      </w:r>
      <w:r w:rsidR="00EA009C">
        <w:rPr>
          <w:lang w:val="en-US"/>
        </w:rPr>
        <w:t>.</w:t>
      </w:r>
      <w:r w:rsidR="00EA009C" w:rsidRPr="00EA009C">
        <w:rPr>
          <w:lang w:val="en-US"/>
        </w:rPr>
        <w:t xml:space="preserve"> </w:t>
      </w:r>
    </w:p>
    <w:p w14:paraId="11441E13" w14:textId="036EFCC8" w:rsidR="00281A58" w:rsidRPr="005851F9" w:rsidRDefault="00526BA4" w:rsidP="00281A58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281A58">
        <w:rPr>
          <w:bCs/>
        </w:rPr>
        <w:t xml:space="preserve"> </w:t>
      </w:r>
      <w:r w:rsidR="00281A58">
        <w:rPr>
          <w:rFonts w:ascii="宋体" w:hAnsi="宋体" w:hint="eastAsia"/>
          <w:bCs/>
        </w:rPr>
        <w:t>②</w:t>
      </w:r>
      <w:r w:rsidR="00DB6D7F" w:rsidRPr="00EA009C">
        <w:rPr>
          <w:lang w:val="en-US"/>
        </w:rPr>
        <w:t>,</w:t>
      </w:r>
      <w:r w:rsidR="00DB6D7F">
        <w:rPr>
          <w:lang w:val="en-US"/>
        </w:rPr>
        <w:t xml:space="preserve"> </w:t>
      </w:r>
      <w:r w:rsidR="008005FE">
        <w:rPr>
          <w:lang w:val="en-US"/>
        </w:rPr>
        <w:t xml:space="preserve">the </w:t>
      </w:r>
      <w:r w:rsidR="00DB6D7F" w:rsidRPr="00EA009C">
        <w:rPr>
          <w:lang w:val="en-US"/>
        </w:rPr>
        <w:t xml:space="preserve">cell DTX/DRX </w:t>
      </w:r>
      <w:r w:rsidR="00DB6D7F">
        <w:rPr>
          <w:lang w:val="en-US"/>
        </w:rPr>
        <w:t xml:space="preserve">is </w:t>
      </w:r>
      <w:r w:rsidR="00DF4A05">
        <w:rPr>
          <w:lang w:val="en-US"/>
        </w:rPr>
        <w:t>active and UE C-DRX is non-active</w:t>
      </w:r>
      <w:r w:rsidR="00DB6D7F" w:rsidRPr="00EA009C">
        <w:rPr>
          <w:lang w:val="en-US"/>
        </w:rPr>
        <w:t>,</w:t>
      </w:r>
      <w:r w:rsidR="00252DD3">
        <w:rPr>
          <w:lang w:val="en-US"/>
        </w:rPr>
        <w:t xml:space="preserve"> </w:t>
      </w:r>
      <w:r w:rsidR="00AD735E">
        <w:rPr>
          <w:lang w:val="en-US"/>
        </w:rPr>
        <w:t>which</w:t>
      </w:r>
      <w:r w:rsidR="008B5773">
        <w:rPr>
          <w:lang w:val="en-US"/>
        </w:rPr>
        <w:t xml:space="preserve"> equals no cell DTX/DRX configured. T</w:t>
      </w:r>
      <w:r w:rsidR="00252DD3">
        <w:rPr>
          <w:lang w:val="en-US"/>
        </w:rPr>
        <w:t xml:space="preserve">hus, the </w:t>
      </w:r>
      <w:r w:rsidR="00252DD3" w:rsidRPr="00EA009C">
        <w:rPr>
          <w:lang w:val="en-US"/>
        </w:rPr>
        <w:t>UE/network</w:t>
      </w:r>
      <w:r w:rsidR="00252DD3">
        <w:rPr>
          <w:lang w:val="en-US"/>
        </w:rPr>
        <w:t xml:space="preserve"> </w:t>
      </w:r>
      <w:r w:rsidR="008B5773">
        <w:rPr>
          <w:lang w:val="en-US"/>
        </w:rPr>
        <w:t xml:space="preserve">works as legacy, </w:t>
      </w:r>
      <w:proofErr w:type="gramStart"/>
      <w:r w:rsidR="008B5773">
        <w:rPr>
          <w:lang w:val="en-US"/>
        </w:rPr>
        <w:t>i.e.</w:t>
      </w:r>
      <w:proofErr w:type="gramEnd"/>
      <w:r w:rsidR="008B5773">
        <w:rPr>
          <w:lang w:val="en-US"/>
        </w:rPr>
        <w:t xml:space="preserve"> </w:t>
      </w:r>
      <w:r w:rsidR="00A50D1E">
        <w:rPr>
          <w:lang w:val="en-US"/>
        </w:rPr>
        <w:t xml:space="preserve">the </w:t>
      </w:r>
      <w:r w:rsidR="00A50D1E" w:rsidRPr="00EA009C">
        <w:rPr>
          <w:lang w:val="en-US"/>
        </w:rPr>
        <w:t>UE/network</w:t>
      </w:r>
      <w:r w:rsidR="00A50D1E">
        <w:rPr>
          <w:lang w:val="en-US"/>
        </w:rPr>
        <w:t xml:space="preserve"> performs </w:t>
      </w:r>
      <w:r w:rsidR="008B5773">
        <w:rPr>
          <w:lang w:val="en-US"/>
        </w:rPr>
        <w:t xml:space="preserve">the </w:t>
      </w:r>
      <w:proofErr w:type="spellStart"/>
      <w:r w:rsidR="00ED1951">
        <w:rPr>
          <w:lang w:val="en-US"/>
        </w:rPr>
        <w:t>behaviour</w:t>
      </w:r>
      <w:proofErr w:type="spellEnd"/>
      <w:r w:rsidR="008B5773">
        <w:rPr>
          <w:lang w:val="en-US"/>
        </w:rPr>
        <w:t xml:space="preserve"> </w:t>
      </w:r>
      <w:r w:rsidR="00A50D1E">
        <w:rPr>
          <w:lang w:val="en-US"/>
        </w:rPr>
        <w:t>for</w:t>
      </w:r>
      <w:r w:rsidR="008B5773">
        <w:rPr>
          <w:lang w:val="en-US"/>
        </w:rPr>
        <w:t xml:space="preserve"> </w:t>
      </w:r>
      <w:r w:rsidR="00252DD3">
        <w:rPr>
          <w:lang w:val="en-US"/>
        </w:rPr>
        <w:t xml:space="preserve">UE </w:t>
      </w:r>
      <w:r w:rsidR="00A50D1E">
        <w:rPr>
          <w:lang w:val="en-US"/>
        </w:rPr>
        <w:t>C-</w:t>
      </w:r>
      <w:r w:rsidR="00252DD3">
        <w:rPr>
          <w:lang w:val="en-US"/>
        </w:rPr>
        <w:t xml:space="preserve">DRX </w:t>
      </w:r>
      <w:r w:rsidR="00605218">
        <w:rPr>
          <w:lang w:val="en-US"/>
        </w:rPr>
        <w:t>non-</w:t>
      </w:r>
      <w:r w:rsidR="00252DD3">
        <w:rPr>
          <w:lang w:val="en-US"/>
        </w:rPr>
        <w:t xml:space="preserve">active </w:t>
      </w:r>
      <w:r w:rsidR="00A50D1E">
        <w:rPr>
          <w:lang w:val="en-US"/>
        </w:rPr>
        <w:t>time</w:t>
      </w:r>
      <w:r w:rsidR="008B5773">
        <w:rPr>
          <w:lang w:val="en-US"/>
        </w:rPr>
        <w:t>.</w:t>
      </w:r>
    </w:p>
    <w:p w14:paraId="6B74E5DB" w14:textId="2D2B698A" w:rsidR="00912A9B" w:rsidRPr="00912A9B" w:rsidRDefault="00F33018" w:rsidP="00C67CFB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C67CFB">
        <w:rPr>
          <w:bCs/>
        </w:rPr>
        <w:t xml:space="preserve"> </w:t>
      </w:r>
      <w:r w:rsidR="00C67CFB">
        <w:rPr>
          <w:rFonts w:ascii="宋体" w:hAnsi="宋体" w:hint="eastAsia"/>
          <w:bCs/>
        </w:rPr>
        <w:t>③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493FE3" w:rsidRPr="00EA009C">
        <w:rPr>
          <w:lang w:val="en-US"/>
        </w:rPr>
        <w:t>both</w:t>
      </w:r>
      <w:r w:rsidR="00493FE3">
        <w:rPr>
          <w:lang w:val="en-US"/>
        </w:rPr>
        <w:t xml:space="preserve"> </w:t>
      </w:r>
      <w:r w:rsidR="008005FE">
        <w:rPr>
          <w:lang w:val="en-US"/>
        </w:rPr>
        <w:t xml:space="preserve">the </w:t>
      </w:r>
      <w:r w:rsidR="00493FE3" w:rsidRPr="00EA009C">
        <w:rPr>
          <w:lang w:val="en-US"/>
        </w:rPr>
        <w:t xml:space="preserve">cell DTX/DRX and UE DRX are </w:t>
      </w:r>
      <w:r w:rsidR="003A06C2">
        <w:rPr>
          <w:lang w:val="en-US"/>
        </w:rPr>
        <w:t>non-active</w:t>
      </w:r>
      <w:r w:rsidR="009C693A">
        <w:rPr>
          <w:lang w:val="en-US"/>
        </w:rPr>
        <w:t xml:space="preserve">. </w:t>
      </w:r>
      <w:r w:rsidR="0083344E">
        <w:rPr>
          <w:lang w:val="en-US"/>
        </w:rPr>
        <w:t>S</w:t>
      </w:r>
      <w:r w:rsidR="000738A7">
        <w:rPr>
          <w:lang w:val="en-US"/>
        </w:rPr>
        <w:t xml:space="preserve">ince </w:t>
      </w:r>
      <w:r w:rsidR="008716C6">
        <w:rPr>
          <w:lang w:val="en-US"/>
        </w:rPr>
        <w:t xml:space="preserve">the </w:t>
      </w:r>
      <w:proofErr w:type="spellStart"/>
      <w:r w:rsidR="00ED1951">
        <w:rPr>
          <w:lang w:val="en-US"/>
        </w:rPr>
        <w:t>behaviour</w:t>
      </w:r>
      <w:proofErr w:type="spellEnd"/>
      <w:r w:rsidR="008716C6">
        <w:rPr>
          <w:lang w:val="en-US"/>
        </w:rPr>
        <w:t xml:space="preserve"> </w:t>
      </w:r>
      <w:r w:rsidR="00C94BE6">
        <w:rPr>
          <w:lang w:val="en-US"/>
        </w:rPr>
        <w:t xml:space="preserve">for </w:t>
      </w:r>
      <w:r w:rsidR="000738A7">
        <w:rPr>
          <w:lang w:val="en-US"/>
        </w:rPr>
        <w:t xml:space="preserve">the </w:t>
      </w:r>
      <w:r w:rsidR="00C94BE6">
        <w:rPr>
          <w:lang w:val="en-US"/>
        </w:rPr>
        <w:t xml:space="preserve">cell DTX/DRX non-active is </w:t>
      </w:r>
      <w:r w:rsidR="009C693A">
        <w:rPr>
          <w:lang w:val="en-US"/>
        </w:rPr>
        <w:t xml:space="preserve">different </w:t>
      </w:r>
      <w:r w:rsidR="00C94BE6">
        <w:rPr>
          <w:lang w:val="en-US"/>
        </w:rPr>
        <w:t>from the one for</w:t>
      </w:r>
      <w:r w:rsidR="008716C6">
        <w:rPr>
          <w:lang w:val="en-US"/>
        </w:rPr>
        <w:t xml:space="preserve"> UE </w:t>
      </w:r>
      <w:r w:rsidR="00067AF3">
        <w:rPr>
          <w:lang w:val="en-US"/>
        </w:rPr>
        <w:t>C-</w:t>
      </w:r>
      <w:r w:rsidR="008716C6">
        <w:rPr>
          <w:lang w:val="en-US"/>
        </w:rPr>
        <w:t xml:space="preserve">DRX </w:t>
      </w:r>
      <w:r w:rsidR="00D30C72">
        <w:rPr>
          <w:lang w:val="en-US"/>
        </w:rPr>
        <w:t>non-active</w:t>
      </w:r>
      <w:r w:rsidR="008716C6">
        <w:rPr>
          <w:lang w:val="en-US"/>
        </w:rPr>
        <w:t>, we prefer t</w:t>
      </w:r>
      <w:r w:rsidR="008716C6">
        <w:rPr>
          <w:iCs/>
          <w:szCs w:val="20"/>
        </w:rPr>
        <w:t>he UE</w:t>
      </w:r>
      <w:r w:rsidR="00313878">
        <w:rPr>
          <w:iCs/>
          <w:szCs w:val="20"/>
        </w:rPr>
        <w:t xml:space="preserve"> to</w:t>
      </w:r>
      <w:r w:rsidR="008716C6">
        <w:rPr>
          <w:iCs/>
          <w:szCs w:val="20"/>
        </w:rPr>
        <w:t xml:space="preserve"> follow the way expected </w:t>
      </w:r>
      <w:r w:rsidR="00313878">
        <w:rPr>
          <w:iCs/>
          <w:szCs w:val="20"/>
        </w:rPr>
        <w:t>for</w:t>
      </w:r>
      <w:r w:rsidR="008716C6">
        <w:rPr>
          <w:iCs/>
          <w:szCs w:val="20"/>
        </w:rPr>
        <w:t xml:space="preserve"> </w:t>
      </w:r>
      <w:r w:rsidR="00271B90">
        <w:rPr>
          <w:iCs/>
          <w:szCs w:val="20"/>
        </w:rPr>
        <w:t xml:space="preserve">the </w:t>
      </w:r>
      <w:r w:rsidR="009A626C">
        <w:rPr>
          <w:iCs/>
          <w:szCs w:val="20"/>
        </w:rPr>
        <w:t>c</w:t>
      </w:r>
      <w:r w:rsidR="008716C6">
        <w:rPr>
          <w:iCs/>
          <w:szCs w:val="20"/>
        </w:rPr>
        <w:t xml:space="preserve">ell DTX/DRX </w:t>
      </w:r>
      <w:r w:rsidR="00AA0FC9">
        <w:rPr>
          <w:lang w:val="en-US"/>
        </w:rPr>
        <w:t>non-active</w:t>
      </w:r>
      <w:r w:rsidR="008716C6">
        <w:rPr>
          <w:iCs/>
          <w:szCs w:val="20"/>
        </w:rPr>
        <w:t>, otherwise</w:t>
      </w:r>
      <w:r w:rsidR="00C75E3B">
        <w:rPr>
          <w:iCs/>
          <w:szCs w:val="20"/>
        </w:rPr>
        <w:t>,</w:t>
      </w:r>
      <w:r w:rsidR="008716C6">
        <w:rPr>
          <w:iCs/>
          <w:szCs w:val="20"/>
        </w:rPr>
        <w:t xml:space="preserve"> </w:t>
      </w:r>
      <w:r w:rsidR="0073037A">
        <w:rPr>
          <w:iCs/>
          <w:szCs w:val="20"/>
        </w:rPr>
        <w:t xml:space="preserve">the NES </w:t>
      </w:r>
      <w:r w:rsidR="00787365">
        <w:rPr>
          <w:iCs/>
          <w:szCs w:val="20"/>
        </w:rPr>
        <w:t xml:space="preserve">gain </w:t>
      </w:r>
      <w:r w:rsidR="00652CBB">
        <w:rPr>
          <w:iCs/>
          <w:szCs w:val="20"/>
        </w:rPr>
        <w:t>cannot</w:t>
      </w:r>
      <w:r w:rsidR="00787365">
        <w:rPr>
          <w:iCs/>
          <w:szCs w:val="20"/>
        </w:rPr>
        <w:t xml:space="preserve"> be achieved as we designed. </w:t>
      </w:r>
    </w:p>
    <w:p w14:paraId="2F9D7852" w14:textId="4030C0D1" w:rsidR="00174D22" w:rsidRPr="00F2791E" w:rsidRDefault="007B2787" w:rsidP="00557BF3">
      <w:pPr>
        <w:pStyle w:val="afb"/>
        <w:numPr>
          <w:ilvl w:val="0"/>
          <w:numId w:val="32"/>
        </w:numPr>
        <w:rPr>
          <w:bCs/>
        </w:rPr>
      </w:pPr>
      <w:r>
        <w:rPr>
          <w:bCs/>
        </w:rPr>
        <w:t>For case</w:t>
      </w:r>
      <w:r w:rsidR="000F2A60">
        <w:rPr>
          <w:rFonts w:ascii="宋体" w:hAnsi="宋体" w:hint="eastAsia"/>
          <w:bCs/>
        </w:rPr>
        <w:t xml:space="preserve"> </w:t>
      </w:r>
      <w:r w:rsidR="004E7437">
        <w:rPr>
          <w:rFonts w:ascii="宋体" w:hAnsi="宋体" w:hint="eastAsia"/>
          <w:bCs/>
        </w:rPr>
        <w:t>④</w:t>
      </w:r>
      <w:r w:rsidR="004E7437" w:rsidRPr="00EA009C">
        <w:rPr>
          <w:lang w:val="en-US"/>
        </w:rPr>
        <w:t>,</w:t>
      </w:r>
      <w:r w:rsidR="004E7437">
        <w:rPr>
          <w:lang w:val="en-US"/>
        </w:rPr>
        <w:t xml:space="preserve"> </w:t>
      </w:r>
      <w:r w:rsidR="005F53A4">
        <w:rPr>
          <w:lang w:val="en-US"/>
        </w:rPr>
        <w:t xml:space="preserve">the </w:t>
      </w:r>
      <w:r w:rsidR="00504B1D" w:rsidRPr="00EA009C">
        <w:rPr>
          <w:lang w:val="en-US"/>
        </w:rPr>
        <w:t xml:space="preserve">cell DTX/DRX </w:t>
      </w:r>
      <w:r w:rsidR="00504B1D">
        <w:rPr>
          <w:lang w:val="en-US"/>
        </w:rPr>
        <w:t xml:space="preserve">is </w:t>
      </w:r>
      <w:r w:rsidR="007A1083">
        <w:rPr>
          <w:lang w:val="en-US"/>
        </w:rPr>
        <w:t>non-active</w:t>
      </w:r>
      <w:r w:rsidR="00504B1D">
        <w:rPr>
          <w:lang w:val="en-US"/>
        </w:rPr>
        <w:t xml:space="preserve"> and </w:t>
      </w:r>
      <w:r w:rsidR="00504B1D" w:rsidRPr="00EA009C">
        <w:rPr>
          <w:lang w:val="en-US"/>
        </w:rPr>
        <w:t xml:space="preserve">UE </w:t>
      </w:r>
      <w:r w:rsidR="00EB0A6A">
        <w:rPr>
          <w:lang w:val="en-US"/>
        </w:rPr>
        <w:t>C-</w:t>
      </w:r>
      <w:r w:rsidR="00504B1D" w:rsidRPr="00EA009C">
        <w:rPr>
          <w:lang w:val="en-US"/>
        </w:rPr>
        <w:t xml:space="preserve">DRX </w:t>
      </w:r>
      <w:r w:rsidR="00504B1D">
        <w:rPr>
          <w:lang w:val="en-US"/>
        </w:rPr>
        <w:t>is</w:t>
      </w:r>
      <w:r w:rsidR="00504B1D" w:rsidRPr="00EA009C">
        <w:rPr>
          <w:lang w:val="en-US"/>
        </w:rPr>
        <w:t xml:space="preserve"> </w:t>
      </w:r>
      <w:r w:rsidR="00504B1D">
        <w:rPr>
          <w:lang w:val="en-US"/>
        </w:rPr>
        <w:t>active</w:t>
      </w:r>
      <w:r w:rsidR="007E2CD3">
        <w:rPr>
          <w:lang w:val="en-US"/>
        </w:rPr>
        <w:t xml:space="preserve">. </w:t>
      </w:r>
      <w:r w:rsidR="004A5D36">
        <w:rPr>
          <w:lang w:val="en-US"/>
        </w:rPr>
        <w:t xml:space="preserve">For good energy saving gain, </w:t>
      </w:r>
      <w:r w:rsidR="0066650C">
        <w:rPr>
          <w:lang w:val="en-US"/>
        </w:rPr>
        <w:t>the</w:t>
      </w:r>
      <w:r w:rsidR="00522CC4">
        <w:rPr>
          <w:lang w:val="en-US"/>
        </w:rPr>
        <w:t xml:space="preserve"> UE </w:t>
      </w:r>
      <w:r w:rsidR="004A5D36">
        <w:rPr>
          <w:lang w:val="en-US"/>
        </w:rPr>
        <w:t xml:space="preserve">is recommended to </w:t>
      </w:r>
      <w:r w:rsidR="00AA5B0B">
        <w:rPr>
          <w:lang w:val="en-US"/>
        </w:rPr>
        <w:t>perform</w:t>
      </w:r>
      <w:r w:rsidR="00807A56">
        <w:rPr>
          <w:lang w:val="en-US"/>
        </w:rPr>
        <w:t xml:space="preserve"> </w:t>
      </w:r>
      <w:r w:rsidR="00834A40">
        <w:rPr>
          <w:lang w:val="en-US"/>
        </w:rPr>
        <w:t xml:space="preserve">the </w:t>
      </w:r>
      <w:proofErr w:type="spellStart"/>
      <w:r w:rsidR="005774AA">
        <w:rPr>
          <w:lang w:val="en-US"/>
        </w:rPr>
        <w:t>behavio</w:t>
      </w:r>
      <w:r w:rsidR="00ED1951">
        <w:rPr>
          <w:lang w:val="en-US"/>
        </w:rPr>
        <w:t>u</w:t>
      </w:r>
      <w:r w:rsidR="005774AA">
        <w:rPr>
          <w:lang w:val="en-US"/>
        </w:rPr>
        <w:t>r</w:t>
      </w:r>
      <w:proofErr w:type="spellEnd"/>
      <w:r w:rsidR="00834A40">
        <w:rPr>
          <w:lang w:val="en-US"/>
        </w:rPr>
        <w:t xml:space="preserve"> </w:t>
      </w:r>
      <w:r w:rsidR="00F00AE0">
        <w:rPr>
          <w:lang w:val="en-US"/>
        </w:rPr>
        <w:t>for</w:t>
      </w:r>
      <w:r w:rsidR="00834A40">
        <w:rPr>
          <w:lang w:val="en-US"/>
        </w:rPr>
        <w:t xml:space="preserve"> </w:t>
      </w:r>
      <w:r w:rsidR="005F53A4">
        <w:rPr>
          <w:lang w:val="en-US"/>
        </w:rPr>
        <w:t xml:space="preserve">the </w:t>
      </w:r>
      <w:r w:rsidR="00834A40">
        <w:rPr>
          <w:lang w:val="en-US"/>
        </w:rPr>
        <w:t xml:space="preserve">cell DTX/DRX </w:t>
      </w:r>
      <w:r w:rsidR="007A1083">
        <w:rPr>
          <w:lang w:val="en-US"/>
        </w:rPr>
        <w:t>non-active</w:t>
      </w:r>
      <w:r w:rsidR="00834A40">
        <w:rPr>
          <w:lang w:val="en-US"/>
        </w:rPr>
        <w:t xml:space="preserve">, </w:t>
      </w:r>
      <w:r w:rsidR="00174D22">
        <w:rPr>
          <w:lang w:val="en-US"/>
        </w:rPr>
        <w:t xml:space="preserve">except </w:t>
      </w:r>
      <w:r w:rsidR="009B38E2">
        <w:rPr>
          <w:lang w:val="en-US"/>
        </w:rPr>
        <w:t xml:space="preserve">for </w:t>
      </w:r>
      <w:r w:rsidR="00174D22">
        <w:rPr>
          <w:lang w:val="en-US"/>
        </w:rPr>
        <w:t>the exceptional case</w:t>
      </w:r>
      <w:r w:rsidR="00C54157">
        <w:rPr>
          <w:lang w:val="en-US"/>
        </w:rPr>
        <w:t>s</w:t>
      </w:r>
      <w:r w:rsidR="00174D22">
        <w:rPr>
          <w:lang w:val="en-US"/>
        </w:rPr>
        <w:t xml:space="preserve"> agreed in RAN2#</w:t>
      </w:r>
      <w:r w:rsidR="00C54157">
        <w:rPr>
          <w:lang w:val="en-US"/>
        </w:rPr>
        <w:t xml:space="preserve">122 on the </w:t>
      </w:r>
      <w:r w:rsidR="00C54157">
        <w:t>retransmission timer and RACH procedure.</w:t>
      </w:r>
    </w:p>
    <w:p w14:paraId="5F079232" w14:textId="29B3DC51" w:rsidR="00121201" w:rsidRPr="008E0E21" w:rsidRDefault="00E0018E">
      <w:pPr>
        <w:pStyle w:val="Proposal"/>
        <w:rPr>
          <w:bCs w:val="0"/>
        </w:rPr>
      </w:pPr>
      <w:bookmarkStart w:id="15" w:name="_Toc141804317"/>
      <w:bookmarkStart w:id="16" w:name="_Toc141805116"/>
      <w:bookmarkStart w:id="17" w:name="_Toc141804318"/>
      <w:bookmarkStart w:id="18" w:name="_Toc141805117"/>
      <w:bookmarkStart w:id="19" w:name="_Toc141804320"/>
      <w:bookmarkStart w:id="20" w:name="_Hlk118296191"/>
      <w:bookmarkStart w:id="21" w:name="_Toc149899242"/>
      <w:bookmarkEnd w:id="15"/>
      <w:bookmarkEnd w:id="16"/>
      <w:bookmarkEnd w:id="17"/>
      <w:bookmarkEnd w:id="18"/>
      <w:r>
        <w:rPr>
          <w:iCs/>
          <w:szCs w:val="20"/>
        </w:rPr>
        <w:t>I</w:t>
      </w:r>
      <w:r w:rsidR="00121201">
        <w:rPr>
          <w:iCs/>
          <w:szCs w:val="20"/>
        </w:rPr>
        <w:t xml:space="preserve">n </w:t>
      </w:r>
      <w:r>
        <w:rPr>
          <w:iCs/>
          <w:szCs w:val="20"/>
        </w:rPr>
        <w:t xml:space="preserve">the case of both </w:t>
      </w:r>
      <w:r w:rsidR="00121201">
        <w:rPr>
          <w:iCs/>
          <w:szCs w:val="20"/>
        </w:rPr>
        <w:t xml:space="preserve">cell DTX/DRX </w:t>
      </w:r>
      <w:r>
        <w:rPr>
          <w:rFonts w:hint="eastAsia"/>
          <w:iCs/>
          <w:szCs w:val="20"/>
        </w:rPr>
        <w:t>a</w:t>
      </w:r>
      <w:r>
        <w:rPr>
          <w:iCs/>
          <w:szCs w:val="20"/>
        </w:rPr>
        <w:t xml:space="preserve">nd UE C-DRX configured and </w:t>
      </w:r>
      <w:r w:rsidR="00121201">
        <w:rPr>
          <w:iCs/>
          <w:szCs w:val="20"/>
        </w:rPr>
        <w:t>non-active, the UE always follows the behaviour designed for cell DTX/DRX non-active</w:t>
      </w:r>
      <w:bookmarkStart w:id="22" w:name="_Toc141804321"/>
      <w:bookmarkEnd w:id="19"/>
      <w:r w:rsidR="00121201">
        <w:rPr>
          <w:iCs/>
          <w:szCs w:val="20"/>
        </w:rPr>
        <w:t>.</w:t>
      </w:r>
      <w:bookmarkEnd w:id="21"/>
      <w:bookmarkEnd w:id="22"/>
    </w:p>
    <w:bookmarkEnd w:id="20"/>
    <w:p w14:paraId="487C69BB" w14:textId="77777777" w:rsidR="00AB1909" w:rsidRPr="00AB1909" w:rsidRDefault="00AB1909" w:rsidP="00A919F4">
      <w:pPr>
        <w:pStyle w:val="afb"/>
        <w:rPr>
          <w:iCs/>
          <w:szCs w:val="20"/>
        </w:rPr>
      </w:pPr>
    </w:p>
    <w:p w14:paraId="2418D0B5" w14:textId="77777777" w:rsidR="00A919F4" w:rsidRPr="00F3348D" w:rsidRDefault="00A919F4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23" w:name="_Toc110331317"/>
      <w:bookmarkEnd w:id="23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2D7D982C" w14:textId="16D54D4C" w:rsidR="004E4CEE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49899239" w:history="1">
        <w:r w:rsidR="004E4CEE" w:rsidRPr="004C7532">
          <w:rPr>
            <w:rStyle w:val="af4"/>
            <w:noProof/>
          </w:rPr>
          <w:t>Proposal 1</w:t>
        </w:r>
        <w:r w:rsidR="004E4CEE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E4CEE" w:rsidRPr="004C7532">
          <w:rPr>
            <w:rStyle w:val="af4"/>
            <w:iCs/>
            <w:noProof/>
          </w:rPr>
          <w:t>Confirm the working assumption:</w:t>
        </w:r>
        <w:r w:rsidR="004E4CEE" w:rsidRPr="004C7532">
          <w:rPr>
            <w:rStyle w:val="af4"/>
            <w:noProof/>
          </w:rPr>
          <w:t xml:space="preserve"> UE triggers RACH upon determining that an emergency call is initiated during the cell DTX/DRX non-active period. We rely on the UE implementation to determine whether an emergency call is initiated.</w:t>
        </w:r>
      </w:hyperlink>
    </w:p>
    <w:p w14:paraId="46439B83" w14:textId="5F6A9AB9" w:rsidR="004E4CEE" w:rsidRDefault="004E4C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899240" w:history="1">
        <w:r w:rsidRPr="004C7532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C7532">
          <w:rPr>
            <w:rStyle w:val="af4"/>
            <w:iCs/>
            <w:noProof/>
          </w:rPr>
          <w:t>RAN2 waits for further RAN1’s progress on whether to add NES-RNTI to the list of monitored RNTIs in section 4.7 (DRX).</w:t>
        </w:r>
      </w:hyperlink>
    </w:p>
    <w:p w14:paraId="2AB1CE07" w14:textId="07D4178E" w:rsidR="004E4CEE" w:rsidRDefault="004E4C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899241" w:history="1">
        <w:r w:rsidRPr="004C7532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C7532">
          <w:rPr>
            <w:rStyle w:val="af4"/>
            <w:iCs/>
            <w:noProof/>
          </w:rPr>
          <w:t xml:space="preserve">No need to restrict that </w:t>
        </w:r>
        <w:r w:rsidRPr="004C7532">
          <w:rPr>
            <w:rStyle w:val="af4"/>
            <w:noProof/>
            <w:lang w:eastAsia="ko-KR"/>
          </w:rPr>
          <w:t>the cell DRX is only configured when C-DRX is configured.</w:t>
        </w:r>
      </w:hyperlink>
    </w:p>
    <w:p w14:paraId="0239A96E" w14:textId="649D9BD2" w:rsidR="004E4CEE" w:rsidRDefault="004E4CE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9899242" w:history="1">
        <w:r w:rsidRPr="004C7532">
          <w:rPr>
            <w:rStyle w:val="af4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C7532">
          <w:rPr>
            <w:rStyle w:val="af4"/>
            <w:iCs/>
            <w:noProof/>
          </w:rPr>
          <w:t>In the case of both cell DTX/DRX and UE C-DRX configured and non-active, the UE always follows the behaviour designed for cell DTX/DRX non-active.</w:t>
        </w:r>
      </w:hyperlink>
    </w:p>
    <w:p w14:paraId="709E4DDE" w14:textId="79258DFD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4" w:name="_In-sequence_SDU_delivery"/>
      <w:bookmarkStart w:id="25" w:name="_Ref189809556"/>
      <w:bookmarkStart w:id="26" w:name="_Ref174151459"/>
      <w:bookmarkStart w:id="27" w:name="_Ref450865335"/>
      <w:bookmarkEnd w:id="24"/>
      <w:r>
        <w:rPr>
          <w:rFonts w:hint="eastAsia"/>
        </w:rPr>
        <w:t>Reference</w:t>
      </w:r>
      <w:bookmarkEnd w:id="25"/>
      <w:bookmarkEnd w:id="26"/>
      <w:bookmarkEnd w:id="27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8479F74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114431A0" w:rsidR="00C71448" w:rsidRDefault="00C71448" w:rsidP="00EF02DA"/>
    <w:sectPr w:rsidR="00C71448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20C0" w14:textId="77777777" w:rsidR="000C227E" w:rsidRDefault="000C227E">
      <w:pPr>
        <w:spacing w:after="0"/>
      </w:pPr>
      <w:r>
        <w:separator/>
      </w:r>
    </w:p>
  </w:endnote>
  <w:endnote w:type="continuationSeparator" w:id="0">
    <w:p w14:paraId="0C8F29E8" w14:textId="77777777" w:rsidR="000C227E" w:rsidRDefault="000C22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0B1E5" w14:textId="77777777" w:rsidR="000C227E" w:rsidRDefault="000C227E">
      <w:pPr>
        <w:spacing w:after="0"/>
      </w:pPr>
      <w:r>
        <w:separator/>
      </w:r>
    </w:p>
  </w:footnote>
  <w:footnote w:type="continuationSeparator" w:id="0">
    <w:p w14:paraId="79C55D8A" w14:textId="77777777" w:rsidR="000C227E" w:rsidRDefault="000C22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D676510"/>
    <w:multiLevelType w:val="hybridMultilevel"/>
    <w:tmpl w:val="B1FE09B4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01DDE"/>
    <w:multiLevelType w:val="hybridMultilevel"/>
    <w:tmpl w:val="4FCA69AE"/>
    <w:lvl w:ilvl="0" w:tplc="C4A4596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6E032B"/>
    <w:multiLevelType w:val="hybridMultilevel"/>
    <w:tmpl w:val="58648FF2"/>
    <w:lvl w:ilvl="0" w:tplc="B7DE305E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31925"/>
    <w:multiLevelType w:val="hybridMultilevel"/>
    <w:tmpl w:val="6A14FD94"/>
    <w:lvl w:ilvl="0" w:tplc="F2AC54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0D26C63"/>
    <w:multiLevelType w:val="hybridMultilevel"/>
    <w:tmpl w:val="7FCC17D2"/>
    <w:lvl w:ilvl="0" w:tplc="73B43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8" w15:restartNumberingAfterBreak="0">
    <w:nsid w:val="7CFF12C7"/>
    <w:multiLevelType w:val="hybridMultilevel"/>
    <w:tmpl w:val="1932D638"/>
    <w:lvl w:ilvl="0" w:tplc="2670E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2"/>
  </w:num>
  <w:num w:numId="3">
    <w:abstractNumId w:val="36"/>
  </w:num>
  <w:num w:numId="4">
    <w:abstractNumId w:val="7"/>
  </w:num>
  <w:num w:numId="5">
    <w:abstractNumId w:val="28"/>
  </w:num>
  <w:num w:numId="6">
    <w:abstractNumId w:val="10"/>
  </w:num>
  <w:num w:numId="7">
    <w:abstractNumId w:val="8"/>
  </w:num>
  <w:num w:numId="8">
    <w:abstractNumId w:val="27"/>
  </w:num>
  <w:num w:numId="9">
    <w:abstractNumId w:val="31"/>
  </w:num>
  <w:num w:numId="10">
    <w:abstractNumId w:val="26"/>
  </w:num>
  <w:num w:numId="11">
    <w:abstractNumId w:val="17"/>
  </w:num>
  <w:num w:numId="12">
    <w:abstractNumId w:val="4"/>
  </w:num>
  <w:num w:numId="13">
    <w:abstractNumId w:val="15"/>
  </w:num>
  <w:num w:numId="14">
    <w:abstractNumId w:val="33"/>
  </w:num>
  <w:num w:numId="15">
    <w:abstractNumId w:val="25"/>
  </w:num>
  <w:num w:numId="16">
    <w:abstractNumId w:val="37"/>
  </w:num>
  <w:num w:numId="17">
    <w:abstractNumId w:val="19"/>
  </w:num>
  <w:num w:numId="18">
    <w:abstractNumId w:val="16"/>
  </w:num>
  <w:num w:numId="19">
    <w:abstractNumId w:val="1"/>
  </w:num>
  <w:num w:numId="20">
    <w:abstractNumId w:val="4"/>
  </w:num>
  <w:num w:numId="21">
    <w:abstractNumId w:val="32"/>
  </w:num>
  <w:num w:numId="22">
    <w:abstractNumId w:val="24"/>
  </w:num>
  <w:num w:numId="23">
    <w:abstractNumId w:val="20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34"/>
  </w:num>
  <w:num w:numId="29">
    <w:abstractNumId w:val="35"/>
  </w:num>
  <w:num w:numId="30">
    <w:abstractNumId w:val="11"/>
  </w:num>
  <w:num w:numId="31">
    <w:abstractNumId w:val="4"/>
  </w:num>
  <w:num w:numId="32">
    <w:abstractNumId w:val="3"/>
  </w:num>
  <w:num w:numId="33">
    <w:abstractNumId w:val="4"/>
  </w:num>
  <w:num w:numId="34">
    <w:abstractNumId w:val="9"/>
  </w:num>
  <w:num w:numId="35">
    <w:abstractNumId w:val="12"/>
  </w:num>
  <w:num w:numId="36">
    <w:abstractNumId w:val="4"/>
  </w:num>
  <w:num w:numId="37">
    <w:abstractNumId w:val="14"/>
  </w:num>
  <w:num w:numId="38">
    <w:abstractNumId w:val="30"/>
  </w:num>
  <w:num w:numId="39">
    <w:abstractNumId w:val="2"/>
  </w:num>
  <w:num w:numId="40">
    <w:abstractNumId w:val="29"/>
  </w:num>
  <w:num w:numId="41">
    <w:abstractNumId w:val="6"/>
  </w:num>
  <w:num w:numId="42">
    <w:abstractNumId w:val="21"/>
  </w:num>
  <w:num w:numId="43">
    <w:abstractNumId w:val="13"/>
  </w:num>
  <w:num w:numId="44">
    <w:abstractNumId w:val="0"/>
  </w:num>
  <w:num w:numId="45">
    <w:abstractNumId w:val="18"/>
  </w:num>
  <w:num w:numId="46">
    <w:abstractNumId w:val="38"/>
  </w:num>
  <w:num w:numId="47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2079"/>
    <w:rsid w:val="000A2813"/>
    <w:rsid w:val="000A2E6C"/>
    <w:rsid w:val="000A2EB0"/>
    <w:rsid w:val="000A3D0F"/>
    <w:rsid w:val="000A3D45"/>
    <w:rsid w:val="000A4519"/>
    <w:rsid w:val="000A58FD"/>
    <w:rsid w:val="000B053C"/>
    <w:rsid w:val="000B28EB"/>
    <w:rsid w:val="000B4328"/>
    <w:rsid w:val="000B603B"/>
    <w:rsid w:val="000B6474"/>
    <w:rsid w:val="000B66BA"/>
    <w:rsid w:val="000B6A52"/>
    <w:rsid w:val="000B72AA"/>
    <w:rsid w:val="000B78C2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E0AA1"/>
    <w:rsid w:val="000E0E4F"/>
    <w:rsid w:val="000E157D"/>
    <w:rsid w:val="000E1F69"/>
    <w:rsid w:val="000E3424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AA9"/>
    <w:rsid w:val="001243EA"/>
    <w:rsid w:val="00125F99"/>
    <w:rsid w:val="00126782"/>
    <w:rsid w:val="00126A8A"/>
    <w:rsid w:val="0012708D"/>
    <w:rsid w:val="001277A5"/>
    <w:rsid w:val="00130644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193E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4072"/>
    <w:rsid w:val="0016415A"/>
    <w:rsid w:val="00164E58"/>
    <w:rsid w:val="0016524B"/>
    <w:rsid w:val="00165414"/>
    <w:rsid w:val="0016575B"/>
    <w:rsid w:val="0016758C"/>
    <w:rsid w:val="00167A63"/>
    <w:rsid w:val="001708DF"/>
    <w:rsid w:val="001712B2"/>
    <w:rsid w:val="001720CB"/>
    <w:rsid w:val="00174649"/>
    <w:rsid w:val="00174D22"/>
    <w:rsid w:val="001767D0"/>
    <w:rsid w:val="00177A12"/>
    <w:rsid w:val="001801E7"/>
    <w:rsid w:val="0018256B"/>
    <w:rsid w:val="00183092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DE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1047B"/>
    <w:rsid w:val="0021056D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2484"/>
    <w:rsid w:val="00262BD7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E8"/>
    <w:rsid w:val="00276E9C"/>
    <w:rsid w:val="00280ABD"/>
    <w:rsid w:val="00281A58"/>
    <w:rsid w:val="00281CCF"/>
    <w:rsid w:val="00281FF0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DC4"/>
    <w:rsid w:val="002957FA"/>
    <w:rsid w:val="0029707A"/>
    <w:rsid w:val="002A3AF4"/>
    <w:rsid w:val="002A554E"/>
    <w:rsid w:val="002A5E02"/>
    <w:rsid w:val="002A5F0B"/>
    <w:rsid w:val="002A6D3B"/>
    <w:rsid w:val="002B16A9"/>
    <w:rsid w:val="002B32B5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04"/>
    <w:rsid w:val="002E7AAD"/>
    <w:rsid w:val="002F0112"/>
    <w:rsid w:val="002F0697"/>
    <w:rsid w:val="002F08AA"/>
    <w:rsid w:val="002F1774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156D"/>
    <w:rsid w:val="003031E4"/>
    <w:rsid w:val="00304E8A"/>
    <w:rsid w:val="00305975"/>
    <w:rsid w:val="0030621E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DDD"/>
    <w:rsid w:val="00313E70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832"/>
    <w:rsid w:val="00332321"/>
    <w:rsid w:val="00332582"/>
    <w:rsid w:val="00332C46"/>
    <w:rsid w:val="003334B2"/>
    <w:rsid w:val="00334B19"/>
    <w:rsid w:val="00335737"/>
    <w:rsid w:val="00335C58"/>
    <w:rsid w:val="00335FA3"/>
    <w:rsid w:val="00336B75"/>
    <w:rsid w:val="00337155"/>
    <w:rsid w:val="00340902"/>
    <w:rsid w:val="00340D1E"/>
    <w:rsid w:val="003418AF"/>
    <w:rsid w:val="00341D4B"/>
    <w:rsid w:val="00341EC1"/>
    <w:rsid w:val="00343040"/>
    <w:rsid w:val="0034437B"/>
    <w:rsid w:val="00345EED"/>
    <w:rsid w:val="00346E53"/>
    <w:rsid w:val="003470F8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D15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D7"/>
    <w:rsid w:val="00392998"/>
    <w:rsid w:val="00392BB3"/>
    <w:rsid w:val="00393582"/>
    <w:rsid w:val="0039389C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61CA"/>
    <w:rsid w:val="003B69F8"/>
    <w:rsid w:val="003B6F0E"/>
    <w:rsid w:val="003B74DD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431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F4"/>
    <w:rsid w:val="003E49D0"/>
    <w:rsid w:val="003E6E3B"/>
    <w:rsid w:val="003E76ED"/>
    <w:rsid w:val="003F2734"/>
    <w:rsid w:val="003F2A47"/>
    <w:rsid w:val="003F3967"/>
    <w:rsid w:val="003F4B6D"/>
    <w:rsid w:val="003F4C82"/>
    <w:rsid w:val="003F4D0A"/>
    <w:rsid w:val="003F5172"/>
    <w:rsid w:val="003F5C65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546F"/>
    <w:rsid w:val="00425B56"/>
    <w:rsid w:val="00425D11"/>
    <w:rsid w:val="004267D0"/>
    <w:rsid w:val="004272A2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5EBB"/>
    <w:rsid w:val="004560B7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BB0"/>
    <w:rsid w:val="00476F75"/>
    <w:rsid w:val="0047726B"/>
    <w:rsid w:val="00477C76"/>
    <w:rsid w:val="00477F24"/>
    <w:rsid w:val="00480332"/>
    <w:rsid w:val="00480360"/>
    <w:rsid w:val="004804C7"/>
    <w:rsid w:val="00480E51"/>
    <w:rsid w:val="0048332E"/>
    <w:rsid w:val="00483DE8"/>
    <w:rsid w:val="00484761"/>
    <w:rsid w:val="0048580F"/>
    <w:rsid w:val="00485A08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EC1"/>
    <w:rsid w:val="004C1257"/>
    <w:rsid w:val="004C18E3"/>
    <w:rsid w:val="004C1AC3"/>
    <w:rsid w:val="004C21B2"/>
    <w:rsid w:val="004C3647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8E8"/>
    <w:rsid w:val="004D40E0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B06"/>
    <w:rsid w:val="004E3B2A"/>
    <w:rsid w:val="004E4CEE"/>
    <w:rsid w:val="004E5356"/>
    <w:rsid w:val="004E6F65"/>
    <w:rsid w:val="004E7437"/>
    <w:rsid w:val="004F0F81"/>
    <w:rsid w:val="004F2448"/>
    <w:rsid w:val="004F2A0B"/>
    <w:rsid w:val="004F2C68"/>
    <w:rsid w:val="004F3287"/>
    <w:rsid w:val="004F5679"/>
    <w:rsid w:val="004F67E1"/>
    <w:rsid w:val="004F6E28"/>
    <w:rsid w:val="004F76EB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F51"/>
    <w:rsid w:val="005342A3"/>
    <w:rsid w:val="005347C1"/>
    <w:rsid w:val="00534C05"/>
    <w:rsid w:val="00535098"/>
    <w:rsid w:val="00535847"/>
    <w:rsid w:val="00535A9B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02AF"/>
    <w:rsid w:val="005602C5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6C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FCF"/>
    <w:rsid w:val="005E52A0"/>
    <w:rsid w:val="005E5BE0"/>
    <w:rsid w:val="005E63D8"/>
    <w:rsid w:val="005E6612"/>
    <w:rsid w:val="005E732E"/>
    <w:rsid w:val="005E7914"/>
    <w:rsid w:val="005E7F5A"/>
    <w:rsid w:val="005F1A00"/>
    <w:rsid w:val="005F1D68"/>
    <w:rsid w:val="005F2028"/>
    <w:rsid w:val="005F2E16"/>
    <w:rsid w:val="005F3878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56C"/>
    <w:rsid w:val="006338E9"/>
    <w:rsid w:val="0063407B"/>
    <w:rsid w:val="006342AA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FC9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906"/>
    <w:rsid w:val="00670CFF"/>
    <w:rsid w:val="0067231B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2509"/>
    <w:rsid w:val="006A4664"/>
    <w:rsid w:val="006A691E"/>
    <w:rsid w:val="006A6CF5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8A2"/>
    <w:rsid w:val="006D4D3E"/>
    <w:rsid w:val="006D6260"/>
    <w:rsid w:val="006D782E"/>
    <w:rsid w:val="006E017F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E73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6667"/>
    <w:rsid w:val="006F7EE5"/>
    <w:rsid w:val="00700207"/>
    <w:rsid w:val="0070026F"/>
    <w:rsid w:val="00701454"/>
    <w:rsid w:val="007040F7"/>
    <w:rsid w:val="00705BDA"/>
    <w:rsid w:val="00706B96"/>
    <w:rsid w:val="007075D3"/>
    <w:rsid w:val="0071082B"/>
    <w:rsid w:val="007108B2"/>
    <w:rsid w:val="00711261"/>
    <w:rsid w:val="0071219A"/>
    <w:rsid w:val="00712792"/>
    <w:rsid w:val="00712F5A"/>
    <w:rsid w:val="00713253"/>
    <w:rsid w:val="007134AF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6119F"/>
    <w:rsid w:val="00762FF1"/>
    <w:rsid w:val="00763BD8"/>
    <w:rsid w:val="00764317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90483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B9F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E11"/>
    <w:rsid w:val="007E73AC"/>
    <w:rsid w:val="007F1CAD"/>
    <w:rsid w:val="007F2326"/>
    <w:rsid w:val="007F23D8"/>
    <w:rsid w:val="007F486E"/>
    <w:rsid w:val="007F4B68"/>
    <w:rsid w:val="007F5CA5"/>
    <w:rsid w:val="007F5FF6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AC5"/>
    <w:rsid w:val="00812AD8"/>
    <w:rsid w:val="00815445"/>
    <w:rsid w:val="008156BC"/>
    <w:rsid w:val="00815BC8"/>
    <w:rsid w:val="0081701F"/>
    <w:rsid w:val="00817617"/>
    <w:rsid w:val="00820593"/>
    <w:rsid w:val="008205B9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4F2E"/>
    <w:rsid w:val="00865199"/>
    <w:rsid w:val="00865800"/>
    <w:rsid w:val="008658A7"/>
    <w:rsid w:val="00866C6F"/>
    <w:rsid w:val="00866FD2"/>
    <w:rsid w:val="00870CA3"/>
    <w:rsid w:val="0087156B"/>
    <w:rsid w:val="008716C6"/>
    <w:rsid w:val="00872BC3"/>
    <w:rsid w:val="00873C9A"/>
    <w:rsid w:val="00873F6E"/>
    <w:rsid w:val="00874B63"/>
    <w:rsid w:val="00876304"/>
    <w:rsid w:val="00876A6D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C0AA9"/>
    <w:rsid w:val="008C0E87"/>
    <w:rsid w:val="008C1137"/>
    <w:rsid w:val="008C2019"/>
    <w:rsid w:val="008C2E15"/>
    <w:rsid w:val="008C2F25"/>
    <w:rsid w:val="008C5ACB"/>
    <w:rsid w:val="008C6DBE"/>
    <w:rsid w:val="008C7405"/>
    <w:rsid w:val="008D0654"/>
    <w:rsid w:val="008D1206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7668"/>
    <w:rsid w:val="00910467"/>
    <w:rsid w:val="00910EB6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40AE2"/>
    <w:rsid w:val="00941FC5"/>
    <w:rsid w:val="00942A79"/>
    <w:rsid w:val="00946481"/>
    <w:rsid w:val="009468EA"/>
    <w:rsid w:val="0094731E"/>
    <w:rsid w:val="00947F62"/>
    <w:rsid w:val="0095060D"/>
    <w:rsid w:val="009507A0"/>
    <w:rsid w:val="009507F9"/>
    <w:rsid w:val="00950EBF"/>
    <w:rsid w:val="00952BAB"/>
    <w:rsid w:val="00952C82"/>
    <w:rsid w:val="00952D52"/>
    <w:rsid w:val="009533B4"/>
    <w:rsid w:val="00954130"/>
    <w:rsid w:val="00954EA3"/>
    <w:rsid w:val="00957270"/>
    <w:rsid w:val="009573E2"/>
    <w:rsid w:val="0096261C"/>
    <w:rsid w:val="00962735"/>
    <w:rsid w:val="009627B2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702D"/>
    <w:rsid w:val="009973D9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850"/>
    <w:rsid w:val="009B1172"/>
    <w:rsid w:val="009B1620"/>
    <w:rsid w:val="009B166E"/>
    <w:rsid w:val="009B1A4B"/>
    <w:rsid w:val="009B1E7D"/>
    <w:rsid w:val="009B25CC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5E07"/>
    <w:rsid w:val="009C681F"/>
    <w:rsid w:val="009C693A"/>
    <w:rsid w:val="009C7211"/>
    <w:rsid w:val="009D0B00"/>
    <w:rsid w:val="009D0F40"/>
    <w:rsid w:val="009D1595"/>
    <w:rsid w:val="009D1726"/>
    <w:rsid w:val="009D1C42"/>
    <w:rsid w:val="009D29B5"/>
    <w:rsid w:val="009D4507"/>
    <w:rsid w:val="009D49AC"/>
    <w:rsid w:val="009D4B2F"/>
    <w:rsid w:val="009D58B1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A34"/>
    <w:rsid w:val="009F3A64"/>
    <w:rsid w:val="009F63CC"/>
    <w:rsid w:val="009F6C4E"/>
    <w:rsid w:val="009F7349"/>
    <w:rsid w:val="009F78CD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A16"/>
    <w:rsid w:val="00A6345F"/>
    <w:rsid w:val="00A64819"/>
    <w:rsid w:val="00A67655"/>
    <w:rsid w:val="00A677A7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D75"/>
    <w:rsid w:val="00A9100A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E6C"/>
    <w:rsid w:val="00AB2FCB"/>
    <w:rsid w:val="00AB32E2"/>
    <w:rsid w:val="00AB3726"/>
    <w:rsid w:val="00AB3998"/>
    <w:rsid w:val="00AB3DEF"/>
    <w:rsid w:val="00AB42F6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44AA"/>
    <w:rsid w:val="00AC4AFF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274E"/>
    <w:rsid w:val="00AE300A"/>
    <w:rsid w:val="00AE4AC0"/>
    <w:rsid w:val="00AE4B01"/>
    <w:rsid w:val="00AE4F5E"/>
    <w:rsid w:val="00AE56F2"/>
    <w:rsid w:val="00AE67B2"/>
    <w:rsid w:val="00AE6D67"/>
    <w:rsid w:val="00AE70CE"/>
    <w:rsid w:val="00AE7E5F"/>
    <w:rsid w:val="00AF10A3"/>
    <w:rsid w:val="00AF1908"/>
    <w:rsid w:val="00AF2745"/>
    <w:rsid w:val="00AF3472"/>
    <w:rsid w:val="00AF36D0"/>
    <w:rsid w:val="00AF3F59"/>
    <w:rsid w:val="00AF4A57"/>
    <w:rsid w:val="00AF7ADB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75E7"/>
    <w:rsid w:val="00B07BB4"/>
    <w:rsid w:val="00B10650"/>
    <w:rsid w:val="00B109B0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0708"/>
    <w:rsid w:val="00B219FB"/>
    <w:rsid w:val="00B21A60"/>
    <w:rsid w:val="00B22782"/>
    <w:rsid w:val="00B22CC5"/>
    <w:rsid w:val="00B23C1A"/>
    <w:rsid w:val="00B253D2"/>
    <w:rsid w:val="00B25AD0"/>
    <w:rsid w:val="00B27863"/>
    <w:rsid w:val="00B27E7C"/>
    <w:rsid w:val="00B30AF6"/>
    <w:rsid w:val="00B30E20"/>
    <w:rsid w:val="00B3169B"/>
    <w:rsid w:val="00B32C2F"/>
    <w:rsid w:val="00B32C70"/>
    <w:rsid w:val="00B33B65"/>
    <w:rsid w:val="00B3446F"/>
    <w:rsid w:val="00B34C3F"/>
    <w:rsid w:val="00B352CB"/>
    <w:rsid w:val="00B35311"/>
    <w:rsid w:val="00B3581E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52E"/>
    <w:rsid w:val="00B73640"/>
    <w:rsid w:val="00B73856"/>
    <w:rsid w:val="00B7423F"/>
    <w:rsid w:val="00B747C9"/>
    <w:rsid w:val="00B756F7"/>
    <w:rsid w:val="00B757C1"/>
    <w:rsid w:val="00B75803"/>
    <w:rsid w:val="00B75EE6"/>
    <w:rsid w:val="00B766F4"/>
    <w:rsid w:val="00B76D9C"/>
    <w:rsid w:val="00B81254"/>
    <w:rsid w:val="00B81961"/>
    <w:rsid w:val="00B83CE9"/>
    <w:rsid w:val="00B83FF1"/>
    <w:rsid w:val="00B8534A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153A"/>
    <w:rsid w:val="00BA19F4"/>
    <w:rsid w:val="00BA25B2"/>
    <w:rsid w:val="00BA2FDB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B5E"/>
    <w:rsid w:val="00BC34DB"/>
    <w:rsid w:val="00BC3EB6"/>
    <w:rsid w:val="00BC3F8D"/>
    <w:rsid w:val="00BC4B80"/>
    <w:rsid w:val="00BC4D32"/>
    <w:rsid w:val="00BC4EEF"/>
    <w:rsid w:val="00BC533C"/>
    <w:rsid w:val="00BC54F5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D28"/>
    <w:rsid w:val="00BE0CF0"/>
    <w:rsid w:val="00BE1A5D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503"/>
    <w:rsid w:val="00BF2290"/>
    <w:rsid w:val="00BF31AE"/>
    <w:rsid w:val="00BF39A5"/>
    <w:rsid w:val="00BF3F60"/>
    <w:rsid w:val="00BF4F4C"/>
    <w:rsid w:val="00BF526D"/>
    <w:rsid w:val="00BF550E"/>
    <w:rsid w:val="00BF5D47"/>
    <w:rsid w:val="00BF5D82"/>
    <w:rsid w:val="00C002A0"/>
    <w:rsid w:val="00C0071C"/>
    <w:rsid w:val="00C01B9E"/>
    <w:rsid w:val="00C03345"/>
    <w:rsid w:val="00C03B28"/>
    <w:rsid w:val="00C04B15"/>
    <w:rsid w:val="00C07EB6"/>
    <w:rsid w:val="00C10F20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3D19"/>
    <w:rsid w:val="00C33FC1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B7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76B"/>
    <w:rsid w:val="00C60A81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865"/>
    <w:rsid w:val="00C83EC7"/>
    <w:rsid w:val="00C85893"/>
    <w:rsid w:val="00C86279"/>
    <w:rsid w:val="00C86BB5"/>
    <w:rsid w:val="00C86F7A"/>
    <w:rsid w:val="00C911F3"/>
    <w:rsid w:val="00C91C47"/>
    <w:rsid w:val="00C92387"/>
    <w:rsid w:val="00C9333D"/>
    <w:rsid w:val="00C94670"/>
    <w:rsid w:val="00C94BE6"/>
    <w:rsid w:val="00C96F13"/>
    <w:rsid w:val="00C97DA3"/>
    <w:rsid w:val="00CA0E19"/>
    <w:rsid w:val="00CA1DCD"/>
    <w:rsid w:val="00CA210B"/>
    <w:rsid w:val="00CA24D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C3C"/>
    <w:rsid w:val="00CB179B"/>
    <w:rsid w:val="00CB221C"/>
    <w:rsid w:val="00CB26A3"/>
    <w:rsid w:val="00CB2C31"/>
    <w:rsid w:val="00CB314A"/>
    <w:rsid w:val="00CB3212"/>
    <w:rsid w:val="00CB3A5F"/>
    <w:rsid w:val="00CB4CE6"/>
    <w:rsid w:val="00CB5E6A"/>
    <w:rsid w:val="00CB5EAE"/>
    <w:rsid w:val="00CC13D8"/>
    <w:rsid w:val="00CC1B73"/>
    <w:rsid w:val="00CC1D49"/>
    <w:rsid w:val="00CC23FC"/>
    <w:rsid w:val="00CC4763"/>
    <w:rsid w:val="00CC5230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2D4A"/>
    <w:rsid w:val="00D23C88"/>
    <w:rsid w:val="00D23F22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55FC"/>
    <w:rsid w:val="00DB5B22"/>
    <w:rsid w:val="00DB6D7F"/>
    <w:rsid w:val="00DB7991"/>
    <w:rsid w:val="00DC1103"/>
    <w:rsid w:val="00DC1255"/>
    <w:rsid w:val="00DC1C09"/>
    <w:rsid w:val="00DC2B23"/>
    <w:rsid w:val="00DC4FDF"/>
    <w:rsid w:val="00DC54F5"/>
    <w:rsid w:val="00DC57FA"/>
    <w:rsid w:val="00DC6046"/>
    <w:rsid w:val="00DC646F"/>
    <w:rsid w:val="00DC6D6D"/>
    <w:rsid w:val="00DC7038"/>
    <w:rsid w:val="00DD06D5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4272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995"/>
    <w:rsid w:val="00DF674A"/>
    <w:rsid w:val="00DF711A"/>
    <w:rsid w:val="00E0018E"/>
    <w:rsid w:val="00E02EC8"/>
    <w:rsid w:val="00E03D74"/>
    <w:rsid w:val="00E05F5E"/>
    <w:rsid w:val="00E0703C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458D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171D2"/>
    <w:rsid w:val="00E2156A"/>
    <w:rsid w:val="00E23FA5"/>
    <w:rsid w:val="00E250D2"/>
    <w:rsid w:val="00E261E0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7C76"/>
    <w:rsid w:val="00E47E02"/>
    <w:rsid w:val="00E50C00"/>
    <w:rsid w:val="00E521D4"/>
    <w:rsid w:val="00E52204"/>
    <w:rsid w:val="00E54656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72D0"/>
    <w:rsid w:val="00E67D38"/>
    <w:rsid w:val="00E71263"/>
    <w:rsid w:val="00E71C3D"/>
    <w:rsid w:val="00E71D02"/>
    <w:rsid w:val="00E73CA1"/>
    <w:rsid w:val="00E7434F"/>
    <w:rsid w:val="00E7447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4F98"/>
    <w:rsid w:val="00E86203"/>
    <w:rsid w:val="00E90D6C"/>
    <w:rsid w:val="00E9359C"/>
    <w:rsid w:val="00E95091"/>
    <w:rsid w:val="00E953A9"/>
    <w:rsid w:val="00E95DC1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A68"/>
    <w:rsid w:val="00EA3248"/>
    <w:rsid w:val="00EA3CC2"/>
    <w:rsid w:val="00EA3DAD"/>
    <w:rsid w:val="00EA4F56"/>
    <w:rsid w:val="00EA533B"/>
    <w:rsid w:val="00EA58C3"/>
    <w:rsid w:val="00EA5CD4"/>
    <w:rsid w:val="00EA5F8A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5A3"/>
    <w:rsid w:val="00ED478B"/>
    <w:rsid w:val="00ED52FC"/>
    <w:rsid w:val="00ED5D1C"/>
    <w:rsid w:val="00ED6F37"/>
    <w:rsid w:val="00ED7292"/>
    <w:rsid w:val="00EE12FB"/>
    <w:rsid w:val="00EE1CD9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506"/>
    <w:rsid w:val="00F52493"/>
    <w:rsid w:val="00F5306C"/>
    <w:rsid w:val="00F533CC"/>
    <w:rsid w:val="00F53735"/>
    <w:rsid w:val="00F538D9"/>
    <w:rsid w:val="00F55392"/>
    <w:rsid w:val="00F56485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611C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EB3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E2D"/>
    <w:rsid w:val="00FA7749"/>
    <w:rsid w:val="00FA7D5F"/>
    <w:rsid w:val="00FB087B"/>
    <w:rsid w:val="00FB14AB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171B"/>
    <w:rsid w:val="00FD2617"/>
    <w:rsid w:val="00FD276A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129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563F"/>
    <w:rsid w:val="00FF56B9"/>
    <w:rsid w:val="00FF5B52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nlyoffice.com/commentsIdsDocument" Target="commentsIdsDocument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onlyoffice.com/commentsExtendedDocument" Target="commentsExtended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916</Words>
  <Characters>4501</Characters>
  <Application>Microsoft Office Word</Application>
  <DocSecurity>0</DocSecurity>
  <Lines>98</Lines>
  <Paragraphs>46</Paragraphs>
  <ScaleCrop>false</ScaleCrop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6</cp:revision>
  <dcterms:created xsi:type="dcterms:W3CDTF">2023-11-02T10:14:00Z</dcterms:created>
  <dcterms:modified xsi:type="dcterms:W3CDTF">2023-11-03T02:21:00Z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